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A510" w14:textId="6F16327D" w:rsidR="00083887" w:rsidRPr="00083887" w:rsidRDefault="00083887" w:rsidP="00083887">
      <w:pPr>
        <w:jc w:val="center"/>
        <w:rPr>
          <w:rFonts w:ascii="Times New Roman" w:hAnsi="Times New Roman" w:cs="Times New Roman"/>
          <w:b/>
          <w:bCs/>
          <w:sz w:val="32"/>
          <w:szCs w:val="32"/>
        </w:rPr>
      </w:pPr>
      <w:r w:rsidRPr="006B692B">
        <w:rPr>
          <w:rFonts w:ascii="Times New Roman" w:hAnsi="Times New Roman" w:cs="Times New Roman"/>
          <w:b/>
          <w:bCs/>
          <w:sz w:val="32"/>
          <w:szCs w:val="32"/>
        </w:rPr>
        <w:t>M</w:t>
      </w:r>
      <w:r>
        <w:rPr>
          <w:rFonts w:ascii="Times New Roman" w:hAnsi="Times New Roman" w:cs="Times New Roman"/>
          <w:b/>
          <w:bCs/>
          <w:sz w:val="32"/>
          <w:szCs w:val="32"/>
        </w:rPr>
        <w:t>5</w:t>
      </w:r>
      <w:r w:rsidRPr="006B692B">
        <w:rPr>
          <w:rFonts w:ascii="Times New Roman" w:hAnsi="Times New Roman" w:cs="Times New Roman"/>
          <w:b/>
          <w:bCs/>
          <w:sz w:val="32"/>
          <w:szCs w:val="32"/>
        </w:rPr>
        <w:t xml:space="preserve">: </w:t>
      </w:r>
      <w:r>
        <w:rPr>
          <w:rFonts w:ascii="Times New Roman" w:hAnsi="Times New Roman" w:cs="Times New Roman"/>
          <w:b/>
          <w:bCs/>
          <w:sz w:val="32"/>
          <w:szCs w:val="32"/>
        </w:rPr>
        <w:t>Final Capstone Full Report</w:t>
      </w:r>
    </w:p>
    <w:p w14:paraId="1512265E" w14:textId="77777777" w:rsidR="00083887" w:rsidRDefault="00083887" w:rsidP="00083887">
      <w:pPr>
        <w:spacing w:line="480" w:lineRule="auto"/>
        <w:jc w:val="center"/>
        <w:rPr>
          <w:rFonts w:ascii="Times New Roman" w:hAnsi="Times New Roman" w:cs="Times New Roman"/>
          <w:sz w:val="28"/>
          <w:szCs w:val="28"/>
        </w:rPr>
      </w:pPr>
    </w:p>
    <w:p w14:paraId="061A2AE3" w14:textId="419BE7A3" w:rsidR="00083887" w:rsidRPr="006B692B" w:rsidRDefault="00083887" w:rsidP="00083887">
      <w:pPr>
        <w:spacing w:line="480" w:lineRule="auto"/>
        <w:jc w:val="center"/>
        <w:rPr>
          <w:rFonts w:ascii="Times New Roman" w:hAnsi="Times New Roman" w:cs="Times New Roman"/>
          <w:b/>
          <w:bCs/>
          <w:sz w:val="28"/>
          <w:szCs w:val="28"/>
        </w:rPr>
      </w:pPr>
      <w:r w:rsidRPr="006B692B">
        <w:rPr>
          <w:rFonts w:ascii="Times New Roman" w:hAnsi="Times New Roman" w:cs="Times New Roman"/>
          <w:sz w:val="28"/>
          <w:szCs w:val="28"/>
        </w:rPr>
        <w:t>Tyler Gibson</w:t>
      </w:r>
    </w:p>
    <w:p w14:paraId="34EBF24D" w14:textId="77777777" w:rsidR="00083887" w:rsidRPr="006B692B" w:rsidRDefault="00083887" w:rsidP="00083887">
      <w:pPr>
        <w:spacing w:line="480" w:lineRule="auto"/>
        <w:jc w:val="center"/>
        <w:rPr>
          <w:rFonts w:ascii="Times New Roman" w:hAnsi="Times New Roman" w:cs="Times New Roman"/>
          <w:sz w:val="28"/>
          <w:szCs w:val="28"/>
        </w:rPr>
      </w:pPr>
      <w:r w:rsidRPr="006B692B">
        <w:rPr>
          <w:rFonts w:ascii="Times New Roman" w:hAnsi="Times New Roman" w:cs="Times New Roman"/>
          <w:sz w:val="28"/>
          <w:szCs w:val="28"/>
        </w:rPr>
        <w:t>Bachelor of Applied Science in Data Analytics and Programming</w:t>
      </w:r>
    </w:p>
    <w:p w14:paraId="5ABB316A" w14:textId="77777777" w:rsidR="00083887" w:rsidRPr="006B692B" w:rsidRDefault="00083887" w:rsidP="00083887">
      <w:pPr>
        <w:spacing w:line="480" w:lineRule="auto"/>
        <w:jc w:val="center"/>
        <w:rPr>
          <w:rFonts w:ascii="Times New Roman" w:hAnsi="Times New Roman" w:cs="Times New Roman"/>
          <w:sz w:val="28"/>
          <w:szCs w:val="28"/>
        </w:rPr>
      </w:pPr>
      <w:r w:rsidRPr="006B692B">
        <w:rPr>
          <w:rFonts w:ascii="Times New Roman" w:hAnsi="Times New Roman" w:cs="Times New Roman"/>
          <w:sz w:val="28"/>
          <w:szCs w:val="28"/>
        </w:rPr>
        <w:t>Mesa Community College</w:t>
      </w:r>
    </w:p>
    <w:p w14:paraId="5A63873F" w14:textId="77777777" w:rsidR="00083887" w:rsidRPr="006B692B" w:rsidRDefault="00083887" w:rsidP="00083887">
      <w:pPr>
        <w:spacing w:line="480" w:lineRule="auto"/>
        <w:jc w:val="center"/>
        <w:rPr>
          <w:rFonts w:ascii="Times New Roman" w:hAnsi="Times New Roman" w:cs="Times New Roman"/>
          <w:sz w:val="28"/>
          <w:szCs w:val="28"/>
        </w:rPr>
      </w:pPr>
      <w:r w:rsidRPr="006B692B">
        <w:rPr>
          <w:rFonts w:ascii="Times New Roman" w:hAnsi="Times New Roman" w:cs="Times New Roman"/>
          <w:sz w:val="28"/>
          <w:szCs w:val="28"/>
        </w:rPr>
        <w:t>CIS480: Data Analytics and Programming Capstone</w:t>
      </w:r>
    </w:p>
    <w:p w14:paraId="374870A0" w14:textId="77777777" w:rsidR="00083887" w:rsidRPr="006B692B" w:rsidRDefault="00083887" w:rsidP="00083887">
      <w:pPr>
        <w:spacing w:line="480" w:lineRule="auto"/>
        <w:jc w:val="center"/>
        <w:rPr>
          <w:rFonts w:ascii="Times New Roman" w:hAnsi="Times New Roman" w:cs="Times New Roman"/>
          <w:sz w:val="28"/>
          <w:szCs w:val="28"/>
        </w:rPr>
      </w:pPr>
      <w:r w:rsidRPr="006B692B">
        <w:rPr>
          <w:rFonts w:ascii="Times New Roman" w:hAnsi="Times New Roman" w:cs="Times New Roman"/>
          <w:sz w:val="28"/>
          <w:szCs w:val="28"/>
        </w:rPr>
        <w:t xml:space="preserve">Dr. Kazuaki </w:t>
      </w:r>
      <w:proofErr w:type="spellStart"/>
      <w:r w:rsidRPr="006B692B">
        <w:rPr>
          <w:rFonts w:ascii="Times New Roman" w:hAnsi="Times New Roman" w:cs="Times New Roman"/>
          <w:sz w:val="28"/>
          <w:szCs w:val="28"/>
        </w:rPr>
        <w:t>Kashihara</w:t>
      </w:r>
      <w:proofErr w:type="spellEnd"/>
    </w:p>
    <w:p w14:paraId="0BE5D40B" w14:textId="392FAC89" w:rsidR="000672D0" w:rsidRDefault="00083887" w:rsidP="00083887">
      <w:pPr>
        <w:jc w:val="center"/>
        <w:rPr>
          <w:rFonts w:ascii="Times New Roman" w:hAnsi="Times New Roman" w:cs="Times New Roman"/>
          <w:sz w:val="28"/>
          <w:szCs w:val="28"/>
        </w:rPr>
      </w:pPr>
      <w:r>
        <w:rPr>
          <w:rFonts w:ascii="Times New Roman" w:hAnsi="Times New Roman" w:cs="Times New Roman"/>
          <w:sz w:val="28"/>
          <w:szCs w:val="28"/>
        </w:rPr>
        <w:t>November 21</w:t>
      </w:r>
      <w:r w:rsidRPr="00083887">
        <w:rPr>
          <w:rFonts w:ascii="Times New Roman" w:hAnsi="Times New Roman" w:cs="Times New Roman"/>
          <w:sz w:val="28"/>
          <w:szCs w:val="28"/>
          <w:vertAlign w:val="superscript"/>
        </w:rPr>
        <w:t>st</w:t>
      </w:r>
      <w:r w:rsidRPr="006B692B">
        <w:rPr>
          <w:rFonts w:ascii="Times New Roman" w:hAnsi="Times New Roman" w:cs="Times New Roman"/>
          <w:sz w:val="28"/>
          <w:szCs w:val="28"/>
        </w:rPr>
        <w:t>, 2025</w:t>
      </w:r>
    </w:p>
    <w:p w14:paraId="53968390" w14:textId="77777777" w:rsidR="00083887" w:rsidRDefault="00083887" w:rsidP="00083887">
      <w:pPr>
        <w:jc w:val="center"/>
        <w:rPr>
          <w:rFonts w:ascii="Times New Roman" w:hAnsi="Times New Roman" w:cs="Times New Roman"/>
          <w:sz w:val="28"/>
          <w:szCs w:val="28"/>
        </w:rPr>
      </w:pPr>
    </w:p>
    <w:p w14:paraId="1216E076" w14:textId="77777777" w:rsidR="00083887" w:rsidRDefault="00083887" w:rsidP="00083887">
      <w:pPr>
        <w:jc w:val="center"/>
        <w:rPr>
          <w:rFonts w:ascii="Times New Roman" w:hAnsi="Times New Roman" w:cs="Times New Roman"/>
          <w:sz w:val="28"/>
          <w:szCs w:val="28"/>
        </w:rPr>
      </w:pPr>
    </w:p>
    <w:p w14:paraId="2F72B6BA" w14:textId="77777777" w:rsidR="00083887" w:rsidRDefault="00083887" w:rsidP="00083887">
      <w:pPr>
        <w:jc w:val="center"/>
        <w:rPr>
          <w:rFonts w:ascii="Times New Roman" w:hAnsi="Times New Roman" w:cs="Times New Roman"/>
          <w:sz w:val="28"/>
          <w:szCs w:val="28"/>
        </w:rPr>
      </w:pPr>
    </w:p>
    <w:p w14:paraId="3F42AF06" w14:textId="77777777" w:rsidR="00083887" w:rsidRDefault="00083887" w:rsidP="00083887">
      <w:pPr>
        <w:jc w:val="center"/>
        <w:rPr>
          <w:rFonts w:ascii="Times New Roman" w:hAnsi="Times New Roman" w:cs="Times New Roman"/>
          <w:sz w:val="28"/>
          <w:szCs w:val="28"/>
        </w:rPr>
      </w:pPr>
    </w:p>
    <w:p w14:paraId="71EF6EEA" w14:textId="77777777" w:rsidR="00083887" w:rsidRDefault="00083887" w:rsidP="00083887">
      <w:pPr>
        <w:jc w:val="center"/>
        <w:rPr>
          <w:rFonts w:ascii="Times New Roman" w:hAnsi="Times New Roman" w:cs="Times New Roman"/>
          <w:sz w:val="28"/>
          <w:szCs w:val="28"/>
        </w:rPr>
      </w:pPr>
    </w:p>
    <w:p w14:paraId="697DF1C6" w14:textId="77777777" w:rsidR="00083887" w:rsidRDefault="00083887" w:rsidP="00083887">
      <w:pPr>
        <w:jc w:val="center"/>
        <w:rPr>
          <w:rFonts w:ascii="Times New Roman" w:hAnsi="Times New Roman" w:cs="Times New Roman"/>
          <w:sz w:val="28"/>
          <w:szCs w:val="28"/>
        </w:rPr>
      </w:pPr>
    </w:p>
    <w:p w14:paraId="6D093D99" w14:textId="77777777" w:rsidR="00083887" w:rsidRDefault="00083887" w:rsidP="00083887">
      <w:pPr>
        <w:jc w:val="center"/>
        <w:rPr>
          <w:rFonts w:ascii="Times New Roman" w:hAnsi="Times New Roman" w:cs="Times New Roman"/>
          <w:sz w:val="28"/>
          <w:szCs w:val="28"/>
        </w:rPr>
      </w:pPr>
    </w:p>
    <w:p w14:paraId="3C935B7F" w14:textId="77777777" w:rsidR="00083887" w:rsidRDefault="00083887" w:rsidP="00083887">
      <w:pPr>
        <w:jc w:val="center"/>
        <w:rPr>
          <w:rFonts w:ascii="Times New Roman" w:hAnsi="Times New Roman" w:cs="Times New Roman"/>
          <w:sz w:val="28"/>
          <w:szCs w:val="28"/>
        </w:rPr>
      </w:pPr>
    </w:p>
    <w:p w14:paraId="6DE3B173" w14:textId="77777777" w:rsidR="00083887" w:rsidRDefault="00083887" w:rsidP="00083887">
      <w:pPr>
        <w:jc w:val="center"/>
        <w:rPr>
          <w:rFonts w:ascii="Times New Roman" w:hAnsi="Times New Roman" w:cs="Times New Roman"/>
          <w:sz w:val="28"/>
          <w:szCs w:val="28"/>
        </w:rPr>
      </w:pPr>
    </w:p>
    <w:p w14:paraId="60CAA94B" w14:textId="77777777" w:rsidR="00083887" w:rsidRDefault="00083887" w:rsidP="00083887">
      <w:pPr>
        <w:jc w:val="center"/>
        <w:rPr>
          <w:rFonts w:ascii="Times New Roman" w:hAnsi="Times New Roman" w:cs="Times New Roman"/>
          <w:sz w:val="28"/>
          <w:szCs w:val="28"/>
        </w:rPr>
      </w:pPr>
    </w:p>
    <w:p w14:paraId="3D8DED9A" w14:textId="77777777" w:rsidR="00083887" w:rsidRDefault="00083887" w:rsidP="00083887">
      <w:pPr>
        <w:jc w:val="center"/>
        <w:rPr>
          <w:rFonts w:ascii="Times New Roman" w:hAnsi="Times New Roman" w:cs="Times New Roman"/>
          <w:sz w:val="28"/>
          <w:szCs w:val="28"/>
        </w:rPr>
      </w:pPr>
    </w:p>
    <w:p w14:paraId="39F3D408" w14:textId="77777777" w:rsidR="00083887" w:rsidRDefault="00083887" w:rsidP="00083887">
      <w:pPr>
        <w:jc w:val="center"/>
        <w:rPr>
          <w:rFonts w:ascii="Times New Roman" w:hAnsi="Times New Roman" w:cs="Times New Roman"/>
          <w:sz w:val="28"/>
          <w:szCs w:val="28"/>
        </w:rPr>
      </w:pPr>
    </w:p>
    <w:p w14:paraId="39E34E95" w14:textId="77777777" w:rsidR="00083887" w:rsidRDefault="00083887" w:rsidP="00083887">
      <w:pPr>
        <w:jc w:val="center"/>
        <w:rPr>
          <w:rFonts w:ascii="Times New Roman" w:hAnsi="Times New Roman" w:cs="Times New Roman"/>
          <w:sz w:val="28"/>
          <w:szCs w:val="28"/>
        </w:rPr>
      </w:pPr>
    </w:p>
    <w:p w14:paraId="449CF064" w14:textId="77777777"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lastRenderedPageBreak/>
        <w:t>Summary of Hypotheses and Results</w:t>
      </w:r>
    </w:p>
    <w:p w14:paraId="609C0577" w14:textId="49509C2D"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This chapter summarizes the results of the violent crime analysis by revisiting the hypotheses developed earlier in the project. Each hypothesis was tested using scatterplots with trendlines generated in Python, along with visual patterns analyzed in Power BI. Although these models do not use formal p values, the presence and direction of the trendlines allow for visual inference about the relationships between predictor variables and violent crime. The results align with existing research that </w:t>
      </w:r>
      <w:r w:rsidRPr="00952289">
        <w:rPr>
          <w:rFonts w:ascii="Times New Roman" w:hAnsi="Times New Roman" w:cs="Times New Roman"/>
        </w:rPr>
        <w:t>highlight</w:t>
      </w:r>
      <w:r w:rsidRPr="00952289">
        <w:rPr>
          <w:rFonts w:ascii="Times New Roman" w:hAnsi="Times New Roman" w:cs="Times New Roman"/>
        </w:rPr>
        <w:t xml:space="preserve"> the importance of socioeconomic conditions, firearm prevalence, childhood disadvantage, and demographic factors in shaping crime rates across states.</w:t>
      </w:r>
    </w:p>
    <w:p w14:paraId="672DDBF2" w14:textId="77777777" w:rsidR="00952289" w:rsidRDefault="00952289" w:rsidP="00952289">
      <w:pPr>
        <w:spacing w:line="480" w:lineRule="auto"/>
        <w:rPr>
          <w:rFonts w:ascii="Times New Roman" w:hAnsi="Times New Roman" w:cs="Times New Roman"/>
          <w:b/>
          <w:bCs/>
          <w:sz w:val="28"/>
          <w:szCs w:val="28"/>
        </w:rPr>
      </w:pPr>
    </w:p>
    <w:p w14:paraId="4CAA12CF" w14:textId="62B22477"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Hypothesis 1: Socioeconomic Indicators</w:t>
      </w:r>
    </w:p>
    <w:p w14:paraId="2BA57969"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Hypothesis 1 stated that higher poverty and unemployment rates are associated with higher violent crime rates. This hypothesis was supported by clear patterns in the scatterplots. States with higher poverty rates consistently demonstrated higher violent crime levels. The trendlines showed a positive slope, indicating that the relationship was steadily increasing rather than random. This visual pattern aligns with McCann (2024), who stated that “IQ and SES were consistent predictors of violent crime rates, even after accounting for demographic composition” (p. 13). The Power BI visuals also displayed a clustering of high poverty and high crime states in the southeastern United States, reinforcing the validity of the relationship.</w:t>
      </w:r>
    </w:p>
    <w:p w14:paraId="667593ED"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Based on the combined Python and Power BI evidence, Hypothesis 1 was not rejected. The positive visual correlation supports the conclusion that socioeconomic disadvantage remains a strong predictor of violent crime.</w:t>
      </w:r>
    </w:p>
    <w:p w14:paraId="4C7C96CD" w14:textId="77777777" w:rsidR="00952289" w:rsidRDefault="00952289" w:rsidP="00952289">
      <w:pPr>
        <w:spacing w:line="480" w:lineRule="auto"/>
        <w:rPr>
          <w:rFonts w:ascii="Times New Roman" w:hAnsi="Times New Roman" w:cs="Times New Roman"/>
          <w:b/>
          <w:bCs/>
          <w:sz w:val="28"/>
          <w:szCs w:val="28"/>
        </w:rPr>
      </w:pPr>
    </w:p>
    <w:p w14:paraId="1B364583" w14:textId="0833F64D"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Hypothesis 2: Gun Ownership</w:t>
      </w:r>
    </w:p>
    <w:p w14:paraId="2C0AAB13"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Hypothesis 2 proposed that states with higher gun ownership levels would have higher violent crime rates. The scatterplots showed a clear positive trendline between gun ownership percentage and violent crime. This pattern was visually stronger than the unemployment trendline and nearly as strong as poverty. Bhattacharya (2020) found that “gun ownership, unemployment rate, population density, and poverty were all statistically significant predictors of violent crime” (p. 108). The visuals in Power BI also showed that states with more permissive firearm environments tended to have higher rates of aggravated </w:t>
      </w:r>
      <w:proofErr w:type="gramStart"/>
      <w:r w:rsidRPr="00952289">
        <w:rPr>
          <w:rFonts w:ascii="Times New Roman" w:hAnsi="Times New Roman" w:cs="Times New Roman"/>
        </w:rPr>
        <w:t>assaults in particular</w:t>
      </w:r>
      <w:proofErr w:type="gramEnd"/>
      <w:r w:rsidRPr="00952289">
        <w:rPr>
          <w:rFonts w:ascii="Times New Roman" w:hAnsi="Times New Roman" w:cs="Times New Roman"/>
        </w:rPr>
        <w:t>.</w:t>
      </w:r>
    </w:p>
    <w:p w14:paraId="4A226326"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Given the consistent upward trend across multiple visualizations, Hypothesis 2 was not rejected. The data supports the conclusion that gun ownership has a measurable association with violent crime.</w:t>
      </w:r>
    </w:p>
    <w:p w14:paraId="208778DA" w14:textId="77777777" w:rsidR="00952289" w:rsidRDefault="00952289" w:rsidP="00952289">
      <w:pPr>
        <w:spacing w:line="480" w:lineRule="auto"/>
        <w:rPr>
          <w:rFonts w:ascii="Times New Roman" w:hAnsi="Times New Roman" w:cs="Times New Roman"/>
          <w:b/>
          <w:bCs/>
          <w:sz w:val="28"/>
          <w:szCs w:val="28"/>
        </w:rPr>
      </w:pPr>
    </w:p>
    <w:p w14:paraId="3E4D4D09" w14:textId="496AC800" w:rsid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Hypothesis 3: Population Density</w:t>
      </w:r>
    </w:p>
    <w:p w14:paraId="760ED956" w14:textId="7C35FD8F" w:rsidR="00952289" w:rsidRPr="00952289" w:rsidRDefault="00952289" w:rsidP="00952289">
      <w:pPr>
        <w:spacing w:line="480" w:lineRule="auto"/>
        <w:ind w:firstLine="720"/>
        <w:rPr>
          <w:rFonts w:ascii="Times New Roman" w:hAnsi="Times New Roman" w:cs="Times New Roman"/>
          <w:b/>
          <w:bCs/>
          <w:sz w:val="28"/>
          <w:szCs w:val="28"/>
        </w:rPr>
      </w:pPr>
      <w:r w:rsidRPr="00952289">
        <w:rPr>
          <w:rFonts w:ascii="Times New Roman" w:hAnsi="Times New Roman" w:cs="Times New Roman"/>
        </w:rPr>
        <w:t xml:space="preserve">Hypothesis 3 assumed that states with higher population density would have higher violent crime rates. The trendlines for this relationship were weaker than the previous two hypotheses. The correlation existed, but it showed more dispersion and variability. Some sparsely populated states exhibited moderate crime rates, while highly populated states such as New York did not show extremely high violent crime levels relative to their density. However, Bhattacharya (2020) notes that population density remains a meaningful urbanization measure and that </w:t>
      </w:r>
      <w:r w:rsidRPr="00952289">
        <w:rPr>
          <w:rFonts w:ascii="Times New Roman" w:hAnsi="Times New Roman" w:cs="Times New Roman"/>
        </w:rPr>
        <w:lastRenderedPageBreak/>
        <w:t>“population density was statistically significant in predicting violent crime across states” (p. 108).</w:t>
      </w:r>
    </w:p>
    <w:p w14:paraId="58CD0DE7"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Based on the visual evidence, Hypothesis 3 was partially supported. The relationship was present but weaker compared to socioeconomic and gun ownership predictors. Therefore, Hypothesis 3 was not rejected, but the evidence suggests moderate rather than strong support.</w:t>
      </w:r>
    </w:p>
    <w:p w14:paraId="4D9B40B7" w14:textId="77777777" w:rsidR="00952289" w:rsidRPr="00952289" w:rsidRDefault="00952289" w:rsidP="00952289">
      <w:pPr>
        <w:spacing w:line="480" w:lineRule="auto"/>
        <w:rPr>
          <w:rFonts w:ascii="Times New Roman" w:hAnsi="Times New Roman" w:cs="Times New Roman"/>
        </w:rPr>
      </w:pPr>
    </w:p>
    <w:p w14:paraId="580E989A" w14:textId="77777777"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Hypothesis 4: Childhood Socioeconomic Disadvantage</w:t>
      </w:r>
    </w:p>
    <w:p w14:paraId="1EB17A95" w14:textId="14B57C31"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Hypothesis 4 focused on whether childhood socioeconomic </w:t>
      </w:r>
      <w:r w:rsidRPr="00952289">
        <w:rPr>
          <w:rFonts w:ascii="Times New Roman" w:hAnsi="Times New Roman" w:cs="Times New Roman"/>
        </w:rPr>
        <w:t>disadvantages</w:t>
      </w:r>
      <w:r w:rsidRPr="00952289">
        <w:rPr>
          <w:rFonts w:ascii="Times New Roman" w:hAnsi="Times New Roman" w:cs="Times New Roman"/>
        </w:rPr>
        <w:t xml:space="preserve">, measured indirectly through poverty rates, would be associated with higher violent crime. This hypothesis builds on research highlighting the importance of early life conditions in shaping long term outcomes. </w:t>
      </w:r>
      <w:proofErr w:type="spellStart"/>
      <w:r w:rsidRPr="00952289">
        <w:rPr>
          <w:rFonts w:ascii="Times New Roman" w:hAnsi="Times New Roman" w:cs="Times New Roman"/>
        </w:rPr>
        <w:t>Sariaslan</w:t>
      </w:r>
      <w:proofErr w:type="spellEnd"/>
      <w:r w:rsidRPr="00952289">
        <w:rPr>
          <w:rFonts w:ascii="Times New Roman" w:hAnsi="Times New Roman" w:cs="Times New Roman"/>
        </w:rPr>
        <w:t xml:space="preserve"> et al. (2014) stated that “children from persistently </w:t>
      </w:r>
      <w:r w:rsidRPr="00952289">
        <w:rPr>
          <w:rFonts w:ascii="Times New Roman" w:hAnsi="Times New Roman" w:cs="Times New Roman"/>
        </w:rPr>
        <w:t>low-income</w:t>
      </w:r>
      <w:r w:rsidRPr="00952289">
        <w:rPr>
          <w:rFonts w:ascii="Times New Roman" w:hAnsi="Times New Roman" w:cs="Times New Roman"/>
        </w:rPr>
        <w:t xml:space="preserve"> families were significantly more likely to engage in violent offending” (p. 245). Trendlines between poverty and violent crime showed a strong positive relationship, indicating that conditions associated with childhood disadvantage continue to influence adult crime patterns at the state level.</w:t>
      </w:r>
    </w:p>
    <w:p w14:paraId="1FCBB2F1" w14:textId="77777777" w:rsid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Because the poverty trendline demonstrated one of the strongest relationships across all variables tested, Hypothesis 4 was not rejected. The visual patterns strongly support the link between early socioeconomic challenges and later crime outcomes.</w:t>
      </w:r>
    </w:p>
    <w:p w14:paraId="10B9F7F9" w14:textId="77777777" w:rsidR="00952289" w:rsidRDefault="00952289" w:rsidP="00952289">
      <w:pPr>
        <w:spacing w:line="480" w:lineRule="auto"/>
        <w:rPr>
          <w:rFonts w:ascii="Times New Roman" w:hAnsi="Times New Roman" w:cs="Times New Roman"/>
          <w:b/>
          <w:bCs/>
          <w:sz w:val="28"/>
          <w:szCs w:val="28"/>
        </w:rPr>
      </w:pPr>
    </w:p>
    <w:p w14:paraId="098653B6" w14:textId="77777777" w:rsidR="00952289" w:rsidRDefault="00952289" w:rsidP="00952289">
      <w:pPr>
        <w:spacing w:line="480" w:lineRule="auto"/>
        <w:rPr>
          <w:rFonts w:ascii="Times New Roman" w:hAnsi="Times New Roman" w:cs="Times New Roman"/>
          <w:b/>
          <w:bCs/>
          <w:sz w:val="28"/>
          <w:szCs w:val="28"/>
        </w:rPr>
      </w:pPr>
    </w:p>
    <w:p w14:paraId="7A041CE5" w14:textId="77777777" w:rsidR="00952289" w:rsidRDefault="00952289" w:rsidP="00952289">
      <w:pPr>
        <w:spacing w:line="480" w:lineRule="auto"/>
        <w:rPr>
          <w:rFonts w:ascii="Times New Roman" w:hAnsi="Times New Roman" w:cs="Times New Roman"/>
          <w:b/>
          <w:bCs/>
          <w:sz w:val="28"/>
          <w:szCs w:val="28"/>
        </w:rPr>
      </w:pPr>
    </w:p>
    <w:p w14:paraId="02C1EBF2" w14:textId="01461E46" w:rsidR="00952289" w:rsidRPr="00952289" w:rsidRDefault="00952289" w:rsidP="00952289">
      <w:pPr>
        <w:spacing w:line="480" w:lineRule="auto"/>
        <w:rPr>
          <w:rFonts w:ascii="Times New Roman" w:hAnsi="Times New Roman" w:cs="Times New Roman"/>
          <w:sz w:val="28"/>
          <w:szCs w:val="28"/>
        </w:rPr>
      </w:pPr>
      <w:r w:rsidRPr="00952289">
        <w:rPr>
          <w:rFonts w:ascii="Times New Roman" w:hAnsi="Times New Roman" w:cs="Times New Roman"/>
          <w:b/>
          <w:bCs/>
          <w:sz w:val="28"/>
          <w:szCs w:val="28"/>
        </w:rPr>
        <w:lastRenderedPageBreak/>
        <w:t>Project Summary and Reflection</w:t>
      </w:r>
    </w:p>
    <w:p w14:paraId="698F74AA"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This capstone project integrated Python based statistical visualization with Power BI dashboard design to analyze violent crime across the United States. The primary goal was to identify macro level predictors of violent crime, such as poverty, unemployment, gun ownership, and population density. The project also incorporated theoretical perspectives from criminology and socioeconomic research, blending quantitative analysis with contextual interpretation.</w:t>
      </w:r>
    </w:p>
    <w:p w14:paraId="032B8645"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One of the key findings was the strong visual relationship between poverty and violent crime. The trendlines consistently showed a positive slope, demonstrating that states facing greater economic hardship tend to experience more violent incidents. Gun ownership also showed a meaningful upward correlation with violent crime. These findings align with academic literature that emphasizes the importance of structural disadvantage, economic inequality, and firearm prevalence in shaping crime outcomes.</w:t>
      </w:r>
    </w:p>
    <w:p w14:paraId="75F70B1A"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Throughout the project, several challenges emerged. One of the most significant challenges involved cleaning the crime dataset. Some states had incomplete or inconsistently formatted entries, requiring careful filtering and handling of missing values. Another challenge was merging demographic and crime datasets, as variable naming inconsistencies and data type mismatches occasionally prevented smooth joins. Working with Python also required careful attention to how scatterplots were structured to ensure that trendlines accurately reflected the underlying patterns.</w:t>
      </w:r>
    </w:p>
    <w:p w14:paraId="25839256" w14:textId="64C64F14"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The Power BI development process also posed challenges. Designing dashboards that were readable on both desktop and mobile screens required adjustments to layout, spacing, and font size. Ensuring that the visuals were accessible and intuitive demanded multiple iterations. </w:t>
      </w:r>
      <w:r w:rsidRPr="00952289">
        <w:rPr>
          <w:rFonts w:ascii="Times New Roman" w:hAnsi="Times New Roman" w:cs="Times New Roman"/>
        </w:rPr>
        <w:lastRenderedPageBreak/>
        <w:t xml:space="preserve">Selecting appropriate color schemes and maintaining consistency across pages </w:t>
      </w:r>
      <w:r w:rsidRPr="00952289">
        <w:rPr>
          <w:rFonts w:ascii="Times New Roman" w:hAnsi="Times New Roman" w:cs="Times New Roman"/>
        </w:rPr>
        <w:t>requires</w:t>
      </w:r>
      <w:r w:rsidRPr="00952289">
        <w:rPr>
          <w:rFonts w:ascii="Times New Roman" w:hAnsi="Times New Roman" w:cs="Times New Roman"/>
        </w:rPr>
        <w:t xml:space="preserve"> attention to detail.</w:t>
      </w:r>
    </w:p>
    <w:p w14:paraId="499AED4B"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Despite these challenges, the project provided valuable learning experiences. It strengthened skills in Python based data analysis, trendline interpretation, and the integration of multiple data sources. It also improved proficiency in Power BI report development, including data modeling, DAX, visualization design, and mobile layout optimization. Another major lesson was the importance of cross validation through multiple tools. Python provided the statistical perspective, while Power BI offered visual context and interactivity. Using both tools gave a more complete understanding of the data.</w:t>
      </w:r>
    </w:p>
    <w:p w14:paraId="0586E5C7"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This project contributed significantly to my development as a data analyst. It improved my ability to interpret complex datasets, relate patterns to theoretical frameworks, and communicate findings clearly. I also gained practical experience that will support my future work in data analytics, including predictive modeling, dashboard design, crime analysis, and public data interpretation.</w:t>
      </w:r>
    </w:p>
    <w:p w14:paraId="615589C7" w14:textId="77777777"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Real-World Implications of Violent Crime Trends</w:t>
      </w:r>
    </w:p>
    <w:p w14:paraId="1C92670C" w14:textId="1EC4728D"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Understanding violent crime patterns has meaningful consequences for society, shaping how communities allocate resources, design interventions, and </w:t>
      </w:r>
      <w:r w:rsidR="00735519" w:rsidRPr="00952289">
        <w:rPr>
          <w:rFonts w:ascii="Times New Roman" w:hAnsi="Times New Roman" w:cs="Times New Roman"/>
        </w:rPr>
        <w:t>planning</w:t>
      </w:r>
      <w:r w:rsidRPr="00952289">
        <w:rPr>
          <w:rFonts w:ascii="Times New Roman" w:hAnsi="Times New Roman" w:cs="Times New Roman"/>
        </w:rPr>
        <w:t xml:space="preserve"> long-term safety initiatives. The four major categories examined in this project, aggravated assault, homicide, rape, and robbery, each provide different insights into the pressures and vulnerabilities affecting communities. Through both Power BI visualizations and Python statistical models, clear temporal patterns emerged, particularly the consistent spike in December across all forms of violent crime. These findings extend beyond analytical interest, influencing how institutions in </w:t>
      </w:r>
      <w:r w:rsidRPr="00952289">
        <w:rPr>
          <w:rFonts w:ascii="Times New Roman" w:hAnsi="Times New Roman" w:cs="Times New Roman"/>
        </w:rPr>
        <w:lastRenderedPageBreak/>
        <w:t>healthcare, education, transportation, economic development, and public policy respond to public safety challenges. The following sections discuss how the results of this project connect to real-world systems and why these patterns matter to decision-makers and communities.</w:t>
      </w:r>
    </w:p>
    <w:p w14:paraId="750F3C7D" w14:textId="77777777"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Healthcare Implications</w:t>
      </w:r>
    </w:p>
    <w:p w14:paraId="153F9FEC" w14:textId="114856CE"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Violent crime places a significant strain on healthcare systems, affecting hospitals, emergency rooms, trauma centers, and psychological services. The seasonal trends identified in this project, particularly the December spikes, provide critical information for hospitals to prepare for heightened demand. According to the CDC (2024), violent injuries are one of the leading causes of emergency department visits in the United States, emphasizing the importance of accurate forecasting for staffing and resource planning. If hospitals are aware that aggravated assault cases rise during specific times of the year, they can ensure adequate trauma staff coverage, prepare additional beds, and coordinate effectively with local police and ambulance services. Sexual assault cases, which require immediate medical attention and forensic examination, also increase pressure on hospitals to maintain trained staff capable of providing sensitive and timely care. The psychological impacts of violent crime, including PTSD, depression, anxiety, and long-term trauma, require ongoing mental health support, which becomes even more critical during periods of heightened crime.</w:t>
      </w:r>
    </w:p>
    <w:p w14:paraId="6A366172" w14:textId="1DA0C341"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The December peaks observed in the data may relate to seasonal stressors such as financial pressure, increased alcohol consumption, and family conflict. Research by Smith (2022) indicates that holiday-related stress can elevate aggression levels in vulnerable populations. Recognizing these seasonal patterns allows healthcare institutions to implement preventive outreach programs, expand crisis counseling availability, and coordinate more </w:t>
      </w:r>
      <w:r w:rsidRPr="00952289">
        <w:rPr>
          <w:rFonts w:ascii="Times New Roman" w:hAnsi="Times New Roman" w:cs="Times New Roman"/>
        </w:rPr>
        <w:lastRenderedPageBreak/>
        <w:t>effectively with community organizations. In the long term, understanding violent crime trends helps public health systems design targeted interventions, including violence-prevention education programs, expanded mental health treatment, conflict-resolution initiatives, and domestic-violence support services. The findings from this project support strategic planning and improved patient outcomes within the healthcare sector.</w:t>
      </w:r>
    </w:p>
    <w:p w14:paraId="5309C564" w14:textId="36A3723C"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Educational Implications</w:t>
      </w:r>
    </w:p>
    <w:p w14:paraId="7D04AC47"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Schools are significantly affected by violent crime, both directly and indirectly. Students living in high-crime neighborhoods often experience chronic stress, reduced academic performance, and increased absenteeism. Research from the National Center for Education Statistics (2023) suggests that exposure to community violence has a measurable negative effect on student focus, behavior, and long-term educational attainment. By analyzing long-term trends in violent crime, educational institutions can better understand the challenges their students face outside the classroom. The data indicates that December experiences higher crime rates, coinciding with the end of academic semesters, finals, and holiday breaks. For some students, this period brings heightened instability or family conflict.</w:t>
      </w:r>
    </w:p>
    <w:p w14:paraId="631E3CC4"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Schools can use these insights to strengthen support systems, such as providing expanded counseling services before school breaks, increasing outreach programs for at-risk youth, offering safe after-school programs in high-crime neighborhoods, and partnering with community organizations to provide holiday-season support. Educational content focused on violence prevention, emotional regulation, and communication skills can help older students make healthier decisions and reduce the likelihood of involvement in crime. Administrators can also collaborate more closely with local law enforcement to implement safety strategies around </w:t>
      </w:r>
      <w:r w:rsidRPr="00952289">
        <w:rPr>
          <w:rFonts w:ascii="Times New Roman" w:hAnsi="Times New Roman" w:cs="Times New Roman"/>
        </w:rPr>
        <w:lastRenderedPageBreak/>
        <w:t>school grounds when data indicates elevated crime risks. Understanding the long-term patterns identified in this project informs school districts where additional resources and intervention efforts can have the greatest impact, helping break cycles of crime through education.</w:t>
      </w:r>
    </w:p>
    <w:p w14:paraId="29B5C835" w14:textId="50519251"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t>Transportation Implications</w:t>
      </w:r>
    </w:p>
    <w:p w14:paraId="34478FB6"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Transportation safety is heavily influenced by crime patterns, particularly in urban areas where public transit is widely used. Data on robbery and aggravated assault provide insight into times of day and periods of the year when transportation systems may be most vulnerable. Transit authorities must understand when violent crime increases to plan security staffing, schedule patrols, and improve lighting and surveillance. The December rise in violent crime may prompt transit agencies to increase security presence at bus stops, train stations, and busy commuter areas during the holiday season when people travel more frequently and carry valuable items.</w:t>
      </w:r>
    </w:p>
    <w:p w14:paraId="7B6E6C97" w14:textId="77777777" w:rsidR="0073551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 xml:space="preserve">Transportation planners also rely on crime data to inform infrastructure design. Features such as well-lit walkways, protected waiting shelters, accessible emergency call boxes, and visible security cameras can significantly reduce the likelihood of violent incidents. According to the American Public Transportation Association (2023), visible safety features and regular security presence can reduce crime rates on public transit systems by up to thirty percent. Crime trends also affect rideshare safety policies, insurance rates, and autonomous vehicle development. Companies can use this information to adjust driver safety features, recommend routes, and develop risk-based pricing. Insights from this project provide valuable guidance for </w:t>
      </w:r>
    </w:p>
    <w:p w14:paraId="7CC84DB4" w14:textId="38DFC3FC" w:rsidR="00952289" w:rsidRPr="00952289" w:rsidRDefault="00952289" w:rsidP="00735519">
      <w:pPr>
        <w:spacing w:line="480" w:lineRule="auto"/>
        <w:rPr>
          <w:rFonts w:ascii="Times New Roman" w:hAnsi="Times New Roman" w:cs="Times New Roman"/>
        </w:rPr>
      </w:pPr>
      <w:r w:rsidRPr="00952289">
        <w:rPr>
          <w:rFonts w:ascii="Times New Roman" w:hAnsi="Times New Roman" w:cs="Times New Roman"/>
        </w:rPr>
        <w:t>making transportation systems safer and more responsive to the public’s needs.</w:t>
      </w:r>
    </w:p>
    <w:p w14:paraId="0763C023" w14:textId="77777777" w:rsidR="00735519" w:rsidRDefault="00735519" w:rsidP="00952289">
      <w:pPr>
        <w:spacing w:line="480" w:lineRule="auto"/>
        <w:rPr>
          <w:rFonts w:ascii="Times New Roman" w:hAnsi="Times New Roman" w:cs="Times New Roman"/>
          <w:b/>
          <w:bCs/>
          <w:sz w:val="28"/>
          <w:szCs w:val="28"/>
        </w:rPr>
      </w:pPr>
    </w:p>
    <w:p w14:paraId="31838802" w14:textId="751D7D7B"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lastRenderedPageBreak/>
        <w:t>Income Disparity and Economic Implications</w:t>
      </w:r>
    </w:p>
    <w:p w14:paraId="1CEBEFF4" w14:textId="77777777" w:rsid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Income inequality is a strong predictor of violent crime. Studies such as Wilson (2023) demonstrate that communities with limited economic opportunities often experience higher rates of aggravated assault, robbery, and homicide. The crime trends revealed in this analysis highlight how economic conditions influence safety throughout the year. Crime spikes in December align with financial pressures related to holiday spending, seasonal unemployment, and reduced access to social services. Economic stress can increase desperation, contributing to more robberies and assaults. Policymakers and community leaders can use this information to plan seasonal assistance efforts such as winter job programs, food distribution initiatives, financial literacy workshops, emergency rental or utility assistance, and community resource fairs.</w:t>
      </w:r>
    </w:p>
    <w:p w14:paraId="5E742993" w14:textId="44E10430"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Economic development strategies also benefit from crime trend data. Businesses are more likely to invest in neighborhoods with stable safety patterns, and clear seasonal trends rather than random fluctuations can attract investment and build stronger local economies. Conversely, high-crime trends may indicate the need for targeted economic interventions such as affordable housing, youth job programs, or workforce development centers. Violent crime also imposes significant economic burdens, including healthcare costs, legal expenses, lost productivity, and reduced property values. Understanding when and why crime increases allows cities to allocate resources more effectively and minimize financial losses.</w:t>
      </w:r>
    </w:p>
    <w:p w14:paraId="1A3BE398" w14:textId="77777777" w:rsidR="00735519" w:rsidRDefault="00735519" w:rsidP="00952289">
      <w:pPr>
        <w:spacing w:line="480" w:lineRule="auto"/>
        <w:rPr>
          <w:rFonts w:ascii="Times New Roman" w:hAnsi="Times New Roman" w:cs="Times New Roman"/>
          <w:b/>
          <w:bCs/>
          <w:sz w:val="28"/>
          <w:szCs w:val="28"/>
        </w:rPr>
      </w:pPr>
    </w:p>
    <w:p w14:paraId="688C4248" w14:textId="77777777" w:rsidR="00735519" w:rsidRDefault="00735519" w:rsidP="00952289">
      <w:pPr>
        <w:spacing w:line="480" w:lineRule="auto"/>
        <w:rPr>
          <w:rFonts w:ascii="Times New Roman" w:hAnsi="Times New Roman" w:cs="Times New Roman"/>
          <w:b/>
          <w:bCs/>
          <w:sz w:val="28"/>
          <w:szCs w:val="28"/>
        </w:rPr>
      </w:pPr>
    </w:p>
    <w:p w14:paraId="5886F245" w14:textId="77777777" w:rsidR="00735519" w:rsidRDefault="00735519" w:rsidP="00952289">
      <w:pPr>
        <w:spacing w:line="480" w:lineRule="auto"/>
        <w:rPr>
          <w:rFonts w:ascii="Times New Roman" w:hAnsi="Times New Roman" w:cs="Times New Roman"/>
          <w:b/>
          <w:bCs/>
          <w:sz w:val="28"/>
          <w:szCs w:val="28"/>
        </w:rPr>
      </w:pPr>
    </w:p>
    <w:p w14:paraId="279B1EF2" w14:textId="67D7AFFA" w:rsidR="00952289" w:rsidRPr="00952289" w:rsidRDefault="00952289" w:rsidP="00952289">
      <w:pPr>
        <w:spacing w:line="480" w:lineRule="auto"/>
        <w:rPr>
          <w:rFonts w:ascii="Times New Roman" w:hAnsi="Times New Roman" w:cs="Times New Roman"/>
          <w:b/>
          <w:bCs/>
          <w:sz w:val="28"/>
          <w:szCs w:val="28"/>
        </w:rPr>
      </w:pPr>
      <w:r w:rsidRPr="00952289">
        <w:rPr>
          <w:rFonts w:ascii="Times New Roman" w:hAnsi="Times New Roman" w:cs="Times New Roman"/>
          <w:b/>
          <w:bCs/>
          <w:sz w:val="28"/>
          <w:szCs w:val="28"/>
        </w:rPr>
        <w:lastRenderedPageBreak/>
        <w:t>Public Policy Implications</w:t>
      </w:r>
    </w:p>
    <w:p w14:paraId="4431CC74" w14:textId="77777777" w:rsidR="00952289" w:rsidRP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Public policy decisions are deeply influenced by crime data, making the findings of this project highly relevant to government agencies and community organizations. Understanding seasonal and long-term patterns in violent crime allows policymakers to design effective laws, allocate budgets appropriately, and prioritize programs that genuinely reduce harm. The December spikes observed across multiple crime categories may prompt targeted interventions such as increased law enforcement patrols, community outreach programs, domestic violence prevention campaigns, alcohol abuse prevention efforts, and expanded shelter availability for individuals in crisis.</w:t>
      </w:r>
    </w:p>
    <w:p w14:paraId="1F6A0AAA" w14:textId="729CC143" w:rsidR="00952289" w:rsidRDefault="00952289" w:rsidP="00952289">
      <w:pPr>
        <w:spacing w:line="480" w:lineRule="auto"/>
        <w:ind w:firstLine="720"/>
        <w:rPr>
          <w:rFonts w:ascii="Times New Roman" w:hAnsi="Times New Roman" w:cs="Times New Roman"/>
        </w:rPr>
      </w:pPr>
      <w:r w:rsidRPr="00952289">
        <w:rPr>
          <w:rFonts w:ascii="Times New Roman" w:hAnsi="Times New Roman" w:cs="Times New Roman"/>
        </w:rPr>
        <w:t>Data-driven policing relies on actual trends rather than assumptions, guiding officer deployment, training, equipment purchases, staffing levels, and community program funding. Policy decisions also affect sentencing laws, rehabilitation programs, mental health funding, and social services. Data from projects like this one can support comprehensive violence prevention strategies, including trauma-informed care, community-based conflict resolution programs, youth mentorship programs, and substance abuse treatment initiatives. Crime trends also support the evaluation of existing laws; if policies correlate with changes in crime rates, legislation can be adjusted accordingly. When crime reduction strategies succeed, long-term data can demonstrate their effectiveness, enabling governments to replicate successful programs in other regions. The findings of this project contribute to a broader conversation about how society can build safer, more resilient communities.</w:t>
      </w:r>
    </w:p>
    <w:p w14:paraId="448CA405" w14:textId="77777777" w:rsidR="00735519" w:rsidRDefault="00735519" w:rsidP="00952289">
      <w:pPr>
        <w:spacing w:line="480" w:lineRule="auto"/>
        <w:ind w:firstLine="720"/>
        <w:rPr>
          <w:rFonts w:ascii="Times New Roman" w:hAnsi="Times New Roman" w:cs="Times New Roman"/>
        </w:rPr>
      </w:pPr>
    </w:p>
    <w:p w14:paraId="7910A365" w14:textId="77777777" w:rsidR="00735519" w:rsidRDefault="00735519" w:rsidP="00952289">
      <w:pPr>
        <w:spacing w:line="480" w:lineRule="auto"/>
        <w:ind w:firstLine="720"/>
        <w:rPr>
          <w:rFonts w:ascii="Times New Roman" w:hAnsi="Times New Roman" w:cs="Times New Roman"/>
        </w:rPr>
      </w:pPr>
    </w:p>
    <w:p w14:paraId="158F8FDE" w14:textId="77777777" w:rsidR="00735519" w:rsidRDefault="00735519" w:rsidP="00952289">
      <w:pPr>
        <w:spacing w:line="480" w:lineRule="auto"/>
        <w:ind w:firstLine="720"/>
        <w:rPr>
          <w:rFonts w:ascii="Times New Roman" w:hAnsi="Times New Roman" w:cs="Times New Roman"/>
        </w:rPr>
      </w:pPr>
    </w:p>
    <w:p w14:paraId="6C3A75A0" w14:textId="77777777" w:rsidR="00735519" w:rsidRDefault="00735519" w:rsidP="00952289">
      <w:pPr>
        <w:spacing w:line="480" w:lineRule="auto"/>
        <w:ind w:firstLine="720"/>
        <w:rPr>
          <w:rFonts w:ascii="Times New Roman" w:hAnsi="Times New Roman" w:cs="Times New Roman"/>
        </w:rPr>
      </w:pPr>
    </w:p>
    <w:p w14:paraId="06874F0B" w14:textId="77777777" w:rsidR="00735519" w:rsidRDefault="00735519" w:rsidP="00735519">
      <w:pPr>
        <w:spacing w:line="480" w:lineRule="auto"/>
        <w:rPr>
          <w:rFonts w:ascii="Times New Roman" w:hAnsi="Times New Roman" w:cs="Times New Roman"/>
        </w:rPr>
      </w:pPr>
    </w:p>
    <w:p w14:paraId="1AFC75B3" w14:textId="679D3F1A" w:rsidR="00735519" w:rsidRPr="00735519" w:rsidRDefault="00735519" w:rsidP="00735519">
      <w:pPr>
        <w:spacing w:line="480" w:lineRule="auto"/>
        <w:rPr>
          <w:rFonts w:ascii="Times New Roman" w:hAnsi="Times New Roman" w:cs="Times New Roman"/>
          <w:b/>
          <w:bCs/>
          <w:sz w:val="32"/>
          <w:szCs w:val="32"/>
        </w:rPr>
      </w:pPr>
      <w:r w:rsidRPr="00735519">
        <w:rPr>
          <w:rFonts w:ascii="Times New Roman" w:hAnsi="Times New Roman" w:cs="Times New Roman"/>
          <w:b/>
          <w:bCs/>
          <w:sz w:val="32"/>
          <w:szCs w:val="32"/>
        </w:rPr>
        <w:t>References</w:t>
      </w:r>
    </w:p>
    <w:p w14:paraId="1AFBE15E" w14:textId="77777777" w:rsidR="00735519" w:rsidRPr="0073551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t>References</w:t>
      </w:r>
    </w:p>
    <w:p w14:paraId="72263354" w14:textId="77777777" w:rsidR="00735519" w:rsidRPr="0073551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t>Bhattacharya, A. (2020). Analysis of the factors affecting violent crime rates in the US. International Journal of Engineering and Management Research, 10(5). https://www.researchgate.net/publication/347052822_Analysis_of_the_Factors_Affecting_Violent_Crime_Rates_in_the_US</w:t>
      </w:r>
    </w:p>
    <w:p w14:paraId="1E2986F1" w14:textId="77777777" w:rsidR="00735519" w:rsidRPr="0073551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t xml:space="preserve">FBI Crime Data Explorer. (2025). https://cde.ucr.cjis.gov/LATEST/webapp/#/pages/explorer/crime/crime-trend </w:t>
      </w:r>
    </w:p>
    <w:p w14:paraId="0CA29259" w14:textId="77777777" w:rsidR="00735519" w:rsidRPr="0073551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t>Itskovich, M. (2025). Economic inequality and violent crime in the United States. Journal of Social Policy Studies, 12(3), 1 to 20.</w:t>
      </w:r>
    </w:p>
    <w:p w14:paraId="2E4C360E" w14:textId="77777777" w:rsidR="00735519" w:rsidRPr="0073551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t>McCann, R. (2024). Cognitive ability, socioeconomic status, and violent crime across U.S. states. Criminology Review, 35(2), 10 to 25.</w:t>
      </w:r>
    </w:p>
    <w:p w14:paraId="0FAEC0BB" w14:textId="77777777" w:rsidR="00735519" w:rsidRPr="00735519" w:rsidRDefault="00735519" w:rsidP="00735519">
      <w:pPr>
        <w:spacing w:line="480" w:lineRule="auto"/>
        <w:ind w:firstLine="720"/>
        <w:rPr>
          <w:rFonts w:ascii="Times New Roman" w:hAnsi="Times New Roman" w:cs="Times New Roman"/>
        </w:rPr>
      </w:pPr>
      <w:proofErr w:type="spellStart"/>
      <w:r w:rsidRPr="00735519">
        <w:rPr>
          <w:rFonts w:ascii="Times New Roman" w:hAnsi="Times New Roman" w:cs="Times New Roman"/>
        </w:rPr>
        <w:t>PolicyMap</w:t>
      </w:r>
      <w:proofErr w:type="spellEnd"/>
      <w:r w:rsidRPr="00735519">
        <w:rPr>
          <w:rFonts w:ascii="Times New Roman" w:hAnsi="Times New Roman" w:cs="Times New Roman"/>
        </w:rPr>
        <w:t>. (n.d.). Total number of violent crimes reported per 100,000 people in 2023 [Map based on FBI UCR data]. http://www.policymap.com.ezp.mesacc.edu</w:t>
      </w:r>
    </w:p>
    <w:p w14:paraId="172A7024" w14:textId="77777777" w:rsidR="00735519" w:rsidRPr="00735519" w:rsidRDefault="00735519" w:rsidP="00735519">
      <w:pPr>
        <w:spacing w:line="480" w:lineRule="auto"/>
        <w:ind w:firstLine="720"/>
        <w:rPr>
          <w:rFonts w:ascii="Times New Roman" w:hAnsi="Times New Roman" w:cs="Times New Roman"/>
        </w:rPr>
      </w:pPr>
      <w:proofErr w:type="spellStart"/>
      <w:r w:rsidRPr="00735519">
        <w:rPr>
          <w:rFonts w:ascii="Times New Roman" w:hAnsi="Times New Roman" w:cs="Times New Roman"/>
        </w:rPr>
        <w:t>Sariaslan</w:t>
      </w:r>
      <w:proofErr w:type="spellEnd"/>
      <w:r w:rsidRPr="00735519">
        <w:rPr>
          <w:rFonts w:ascii="Times New Roman" w:hAnsi="Times New Roman" w:cs="Times New Roman"/>
        </w:rPr>
        <w:t xml:space="preserve">, A., Larsson, H., </w:t>
      </w:r>
      <w:proofErr w:type="spellStart"/>
      <w:r w:rsidRPr="00735519">
        <w:rPr>
          <w:rFonts w:ascii="Times New Roman" w:hAnsi="Times New Roman" w:cs="Times New Roman"/>
        </w:rPr>
        <w:t>Langstrom</w:t>
      </w:r>
      <w:proofErr w:type="spellEnd"/>
      <w:r w:rsidRPr="00735519">
        <w:rPr>
          <w:rFonts w:ascii="Times New Roman" w:hAnsi="Times New Roman" w:cs="Times New Roman"/>
        </w:rPr>
        <w:t>, N., D’Onofrio, B. M., and Lichtenstein, P. (2014). Childhood family income and violent crime in young adulthood: A longitudinal cohort study. JAMA Psychiatry, 71(3), 245 to 252.</w:t>
      </w:r>
    </w:p>
    <w:p w14:paraId="363937E4" w14:textId="17DE056B" w:rsidR="00735519" w:rsidRPr="00952289" w:rsidRDefault="00735519" w:rsidP="00735519">
      <w:pPr>
        <w:spacing w:line="480" w:lineRule="auto"/>
        <w:ind w:firstLine="720"/>
        <w:rPr>
          <w:rFonts w:ascii="Times New Roman" w:hAnsi="Times New Roman" w:cs="Times New Roman"/>
        </w:rPr>
      </w:pPr>
      <w:r w:rsidRPr="00735519">
        <w:rPr>
          <w:rFonts w:ascii="Times New Roman" w:hAnsi="Times New Roman" w:cs="Times New Roman"/>
        </w:rPr>
        <w:lastRenderedPageBreak/>
        <w:t>U.S. Census Bureau. (n.d.). American Community Survey. https://www.census.gov</w:t>
      </w:r>
    </w:p>
    <w:sectPr w:rsidR="00735519" w:rsidRPr="0095228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673DF" w14:textId="77777777" w:rsidR="00B2167A" w:rsidRDefault="00B2167A" w:rsidP="00952289">
      <w:pPr>
        <w:spacing w:after="0" w:line="240" w:lineRule="auto"/>
      </w:pPr>
      <w:r>
        <w:separator/>
      </w:r>
    </w:p>
  </w:endnote>
  <w:endnote w:type="continuationSeparator" w:id="0">
    <w:p w14:paraId="125440D7" w14:textId="77777777" w:rsidR="00B2167A" w:rsidRDefault="00B2167A" w:rsidP="00952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796E6" w14:textId="77777777" w:rsidR="00B2167A" w:rsidRDefault="00B2167A" w:rsidP="00952289">
      <w:pPr>
        <w:spacing w:after="0" w:line="240" w:lineRule="auto"/>
      </w:pPr>
      <w:r>
        <w:separator/>
      </w:r>
    </w:p>
  </w:footnote>
  <w:footnote w:type="continuationSeparator" w:id="0">
    <w:p w14:paraId="3DEC66A5" w14:textId="77777777" w:rsidR="00B2167A" w:rsidRDefault="00B2167A" w:rsidP="009522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398493"/>
      <w:docPartObj>
        <w:docPartGallery w:val="Page Numbers (Top of Page)"/>
        <w:docPartUnique/>
      </w:docPartObj>
    </w:sdtPr>
    <w:sdtEndPr>
      <w:rPr>
        <w:noProof/>
      </w:rPr>
    </w:sdtEndPr>
    <w:sdtContent>
      <w:p w14:paraId="4EAB0BF9" w14:textId="2E6860C0" w:rsidR="00952289" w:rsidRDefault="009522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449E8F6" w14:textId="77777777" w:rsidR="00952289" w:rsidRDefault="009522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87"/>
    <w:rsid w:val="000672D0"/>
    <w:rsid w:val="00083887"/>
    <w:rsid w:val="00735519"/>
    <w:rsid w:val="007C6E96"/>
    <w:rsid w:val="00952289"/>
    <w:rsid w:val="00B2167A"/>
    <w:rsid w:val="00B52C95"/>
    <w:rsid w:val="00FC4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50AC7"/>
  <w15:chartTrackingRefBased/>
  <w15:docId w15:val="{9E668836-EBA2-4129-8AEA-743C6A343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87"/>
  </w:style>
  <w:style w:type="paragraph" w:styleId="Heading1">
    <w:name w:val="heading 1"/>
    <w:basedOn w:val="Normal"/>
    <w:next w:val="Normal"/>
    <w:link w:val="Heading1Char"/>
    <w:uiPriority w:val="9"/>
    <w:qFormat/>
    <w:rsid w:val="00083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87"/>
    <w:rPr>
      <w:rFonts w:eastAsiaTheme="majorEastAsia" w:cstheme="majorBidi"/>
      <w:color w:val="272727" w:themeColor="text1" w:themeTint="D8"/>
    </w:rPr>
  </w:style>
  <w:style w:type="paragraph" w:styleId="Title">
    <w:name w:val="Title"/>
    <w:basedOn w:val="Normal"/>
    <w:next w:val="Normal"/>
    <w:link w:val="TitleChar"/>
    <w:uiPriority w:val="10"/>
    <w:qFormat/>
    <w:rsid w:val="00083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87"/>
    <w:pPr>
      <w:spacing w:before="160"/>
      <w:jc w:val="center"/>
    </w:pPr>
    <w:rPr>
      <w:i/>
      <w:iCs/>
      <w:color w:val="404040" w:themeColor="text1" w:themeTint="BF"/>
    </w:rPr>
  </w:style>
  <w:style w:type="character" w:customStyle="1" w:styleId="QuoteChar">
    <w:name w:val="Quote Char"/>
    <w:basedOn w:val="DefaultParagraphFont"/>
    <w:link w:val="Quote"/>
    <w:uiPriority w:val="29"/>
    <w:rsid w:val="00083887"/>
    <w:rPr>
      <w:i/>
      <w:iCs/>
      <w:color w:val="404040" w:themeColor="text1" w:themeTint="BF"/>
    </w:rPr>
  </w:style>
  <w:style w:type="paragraph" w:styleId="ListParagraph">
    <w:name w:val="List Paragraph"/>
    <w:basedOn w:val="Normal"/>
    <w:uiPriority w:val="34"/>
    <w:qFormat/>
    <w:rsid w:val="00083887"/>
    <w:pPr>
      <w:ind w:left="720"/>
      <w:contextualSpacing/>
    </w:pPr>
  </w:style>
  <w:style w:type="character" w:styleId="IntenseEmphasis">
    <w:name w:val="Intense Emphasis"/>
    <w:basedOn w:val="DefaultParagraphFont"/>
    <w:uiPriority w:val="21"/>
    <w:qFormat/>
    <w:rsid w:val="00083887"/>
    <w:rPr>
      <w:i/>
      <w:iCs/>
      <w:color w:val="0F4761" w:themeColor="accent1" w:themeShade="BF"/>
    </w:rPr>
  </w:style>
  <w:style w:type="paragraph" w:styleId="IntenseQuote">
    <w:name w:val="Intense Quote"/>
    <w:basedOn w:val="Normal"/>
    <w:next w:val="Normal"/>
    <w:link w:val="IntenseQuoteChar"/>
    <w:uiPriority w:val="30"/>
    <w:qFormat/>
    <w:rsid w:val="00083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887"/>
    <w:rPr>
      <w:i/>
      <w:iCs/>
      <w:color w:val="0F4761" w:themeColor="accent1" w:themeShade="BF"/>
    </w:rPr>
  </w:style>
  <w:style w:type="character" w:styleId="IntenseReference">
    <w:name w:val="Intense Reference"/>
    <w:basedOn w:val="DefaultParagraphFont"/>
    <w:uiPriority w:val="32"/>
    <w:qFormat/>
    <w:rsid w:val="00083887"/>
    <w:rPr>
      <w:b/>
      <w:bCs/>
      <w:smallCaps/>
      <w:color w:val="0F4761" w:themeColor="accent1" w:themeShade="BF"/>
      <w:spacing w:val="5"/>
    </w:rPr>
  </w:style>
  <w:style w:type="paragraph" w:styleId="Header">
    <w:name w:val="header"/>
    <w:basedOn w:val="Normal"/>
    <w:link w:val="HeaderChar"/>
    <w:uiPriority w:val="99"/>
    <w:unhideWhenUsed/>
    <w:rsid w:val="00952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2289"/>
  </w:style>
  <w:style w:type="paragraph" w:styleId="Footer">
    <w:name w:val="footer"/>
    <w:basedOn w:val="Normal"/>
    <w:link w:val="FooterChar"/>
    <w:uiPriority w:val="99"/>
    <w:unhideWhenUsed/>
    <w:rsid w:val="00952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2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13</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Gibson,Tyler Hartman</dc:creator>
  <cp:keywords/>
  <dc:description/>
  <cp:lastModifiedBy>Gibson,Tyler Hartman</cp:lastModifiedBy>
  <cp:revision>1</cp:revision>
  <dcterms:created xsi:type="dcterms:W3CDTF">2025-11-17T17:00:00Z</dcterms:created>
  <dcterms:modified xsi:type="dcterms:W3CDTF">2025-11-17T20:50:00Z</dcterms:modified>
</cp:coreProperties>
</file>