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rFonts w:ascii="Arial" w:hAnsi="Arial"/>
          <w:b/>
          <w:i w:val="0"/>
          <w:color w:val="285A8E"/>
          <w:sz w:val="18"/>
        </w:rPr>
        <w:t>DEVIATION SERVICE</w:t>
      </w:r>
    </w:p>
    <w:p>
      <w:pPr>
        <w:spacing w:before="360"/>
        <w:jc w:val="right"/>
      </w:pPr>
      <w:r>
        <w:rPr>
          <w:rFonts w:ascii="Arial" w:hAnsi="Arial"/>
          <w:b/>
          <w:color w:val="285A8E"/>
          <w:sz w:val="52"/>
        </w:rPr>
        <w:t>ADR Deviation</w:t>
        <w:br/>
        <w:t>Service</w:t>
      </w:r>
    </w:p>
    <w:p>
      <w:pPr>
        <w:jc w:val="right"/>
      </w:pPr>
      <w:r>
        <w:rPr>
          <w:rFonts w:ascii="Arial" w:hAnsi="Arial"/>
          <w:color w:val="555B62"/>
          <w:sz w:val="18"/>
        </w:rPr>
        <w:t>Created: 19 Oct 2026</w:t>
        <w:br/>
      </w:r>
      <w:r>
        <w:rPr>
          <w:rFonts w:ascii="Arial" w:hAnsi="Arial"/>
          <w:color w:val="555B62"/>
          <w:sz w:val="18"/>
        </w:rPr>
        <w:t>Engineering Owner: TBD</w:t>
        <w:br/>
      </w:r>
      <w:r>
        <w:rPr>
          <w:rFonts w:ascii="Arial" w:hAnsi="Arial"/>
          <w:color w:val="555B62"/>
          <w:sz w:val="18"/>
        </w:rPr>
        <w:t>Product Owner: TBD</w:t>
        <w:br/>
      </w:r>
      <w:r>
        <w:rPr>
          <w:rFonts w:ascii="Arial" w:hAnsi="Arial"/>
          <w:color w:val="555B62"/>
          <w:sz w:val="18"/>
        </w:rPr>
        <w:t>Status: Draft for review</w:t>
        <w:br/>
      </w:r>
    </w:p>
    <w:p>
      <w:pPr>
        <w:pStyle w:val="Heading2"/>
      </w:pPr>
      <w:r>
        <w:t>OVERVIEW</w:t>
      </w:r>
    </w:p>
    <w:p>
      <w:pPr>
        <w:widowControl/>
      </w:pPr>
      <w:r>
        <w:rPr>
          <w:rFonts w:ascii="Arial" w:hAnsi="Arial"/>
          <w:i w:val="0"/>
          <w:sz w:val="18"/>
        </w:rPr>
        <w:t>The ADR Deviation Service evaluates technical specifications and implementation changes against the architectural decisions that apply to them. It returns structured, source-linked findings so engineers and reviewers can see supported conflicts, partial evidence, alignment, decisions that do not apply, and cases where evidence is insufficient. The intended finished product runs as a governed AWS service integrated with GitHub; AWS deployment is a target state, not something delivered by this PRD.</w:t>
      </w:r>
    </w:p>
    <w:p>
      <w:pPr>
        <w:pStyle w:val="Heading2"/>
      </w:pPr>
      <w:r>
        <w:t>PATIENT IMPACT</w:t>
      </w:r>
    </w:p>
    <w:p>
      <w:pPr>
        <w:widowControl/>
      </w:pPr>
      <w:r>
        <w:rPr>
          <w:rFonts w:ascii="Arial" w:hAnsi="Arial"/>
          <w:i w:val="0"/>
          <w:sz w:val="18"/>
        </w:rPr>
        <w:t>For this engineering product, “patient impact” is the impact on engineering teams and the organization: reduce time spent manually finding and interpreting ADRs, surface decision conflicts earlier, and avoid false confidence from missing or stale evidence. The service supports engineering judgment; it does not replace architecture governance.</w:t>
      </w:r>
    </w:p>
    <w:p>
      <w:pPr>
        <w:pStyle w:val="Heading2"/>
      </w:pPr>
      <w:r>
        <w:t>RELATED DOCUMENTS</w:t>
      </w:r>
    </w:p>
    <w:p>
      <w:pPr>
        <w:pStyle w:val="ListBullet"/>
        <w:spacing w:after="40"/>
      </w:pPr>
      <w:r>
        <w:t>AWS target product PRD (Markdown): docs/PRD_FINAL_PRODUCT.md</w:t>
      </w:r>
    </w:p>
    <w:p>
      <w:pPr>
        <w:pStyle w:val="ListBullet"/>
        <w:spacing w:after="40"/>
      </w:pPr>
      <w:r>
        <w:t>Current-state technical and operational contracts: docs/architecture-overview.md, docs/AI_PIPELINE.md, docs/OPERATIONS.md</w:t>
      </w:r>
    </w:p>
    <w:p>
      <w:pPr>
        <w:pStyle w:val="ListBullet"/>
        <w:spacing w:after="40"/>
      </w:pPr>
      <w:r>
        <w:t>GitHub prototype PRD: docs/PRD.md</w:t>
      </w:r>
    </w:p>
    <w:p>
      <w:pPr>
        <w:pStyle w:val="ListBullet"/>
        <w:spacing w:after="40"/>
      </w:pPr>
      <w:r>
        <w:t>OpenSpec current-state requirements: openspec/specs/</w:t>
      </w:r>
    </w:p>
    <w:p>
      <w:pPr>
        <w:pStyle w:val="Heading2"/>
      </w:pPr>
      <w:r>
        <w:t>TERMINOLOGY</w:t>
      </w:r>
    </w:p>
    <w:p>
      <w:pPr>
        <w:widowControl/>
      </w:pPr>
      <w:r>
        <w:rPr>
          <w:rFonts w:ascii="Arial" w:hAnsi="Arial"/>
          <w:i w:val="0"/>
          <w:sz w:val="18"/>
        </w:rPr>
        <w:t>ADR: Architecture Decision Record. Applicability: whether a decision governs the service, repository, environment, or change under review. Evidence: immutable, source-located material supporting or contradicting a finding. Inconclusive: insufficient, stale, or ambiguous evidence; it is not a pass. Catalog: versioned decision content and metadata available to analysis. pgvector: a PostgreSQL extension that can index derived embeddings; similarity does not establish policy applicability.</w:t>
      </w:r>
    </w:p>
    <w:p>
      <w:pPr>
        <w:pStyle w:val="Heading2"/>
      </w:pPr>
      <w:r>
        <w:t>QUESTIONS FOR DISCUSSION</w:t>
      </w:r>
    </w:p>
    <w:tbl>
      <w:tblPr>
        <w:tblW w:type="auto" w:w="0"/>
        <w:jc w:val="center"/>
        <w:tblLook w:firstColumn="1" w:firstRow="1" w:lastColumn="0" w:lastRow="0" w:noHBand="0" w:noVBand="1" w:val="04A0"/>
      </w:tblPr>
      <w:tblGrid>
        <w:gridCol w:w="9994"/>
      </w:tblGrid>
      <w:tr>
        <w:tc>
          <w:tcPr>
            <w:tcW w:type="dxa" w:w="9994"/>
            <w:tcBorders>
              <w:top w:val="single" w:sz="6" w:color="8EA2B5"/>
              <w:left w:val="single" w:sz="6" w:color="8EA2B5"/>
              <w:bottom w:val="single" w:sz="6" w:color="8EA2B5"/>
              <w:right w:val="single" w:sz="6" w:color="8EA2B5"/>
              <w:insideH w:val="single" w:sz="6" w:color="8EA2B5"/>
              <w:insideV w:val="single" w:sz="6" w:color="8EA2B5"/>
            </w:tcBorders>
          </w:tcPr>
          <w:p>
            <w:pPr>
              <w:jc w:val="center"/>
            </w:pPr>
            <w:r/>
            <w:r>
              <w:rPr>
                <w:rFonts w:ascii="Arial" w:hAnsi="Arial"/>
                <w:b/>
                <w:color w:val="17324D"/>
                <w:sz w:val="20"/>
              </w:rPr>
              <w:t>QUESTIONS TO CLOSE BEFORE PRODUCTION</w:t>
            </w:r>
          </w:p>
          <w:p>
            <w:pPr>
              <w:spacing w:before="100" w:after="20"/>
            </w:pPr>
            <w:r>
              <w:rPr>
                <w:rFonts w:ascii="Arial" w:hAnsi="Arial"/>
                <w:b/>
                <w:color w:val="285A8E"/>
                <w:sz w:val="18"/>
              </w:rPr>
              <w:t>Q: What is the authoritative ADR source and what does “Bedrock + PostgreSQL vectors” mean in the current data path?</w:t>
            </w:r>
          </w:p>
          <w:p>
            <w:pPr>
              <w:spacing w:after="80"/>
            </w:pPr>
            <w:r>
              <w:rPr>
                <w:rFonts w:ascii="Arial" w:hAnsi="Arial"/>
                <w:sz w:val="17"/>
              </w:rPr>
              <w:t>Confirm where canonical text/metadata live, what Bedrock does, how embeddings are created, and which system owns status and scope.</w:t>
            </w:r>
          </w:p>
          <w:p>
            <w:pPr>
              <w:spacing w:before="100" w:after="20"/>
            </w:pPr>
            <w:r>
              <w:rPr>
                <w:rFonts w:ascii="Arial" w:hAnsi="Arial"/>
                <w:b/>
                <w:color w:val="285A8E"/>
                <w:sz w:val="18"/>
              </w:rPr>
              <w:t>Q: Which model provider may process proprietary source?</w:t>
            </w:r>
          </w:p>
          <w:p>
            <w:pPr>
              <w:spacing w:after="80"/>
            </w:pPr>
            <w:r>
              <w:rPr>
                <w:rFonts w:ascii="Arial" w:hAnsi="Arial"/>
                <w:sz w:val="17"/>
              </w:rPr>
              <w:t>Repository direction currently recommends direct Anthropic API; security/privacy/legal approval is required before real proprietary content is sent.</w:t>
            </w:r>
          </w:p>
          <w:p>
            <w:pPr>
              <w:spacing w:before="100" w:after="20"/>
            </w:pPr>
            <w:r>
              <w:rPr>
                <w:rFonts w:ascii="Arial" w:hAnsi="Arial"/>
                <w:b/>
                <w:color w:val="285A8E"/>
                <w:sz w:val="18"/>
              </w:rPr>
              <w:t>Q: Which AWS API profile and operating targets are required?</w:t>
            </w:r>
          </w:p>
          <w:p>
            <w:pPr>
              <w:spacing w:after="80"/>
            </w:pPr>
            <w:r>
              <w:rPr>
                <w:rFonts w:ascii="Arial" w:hAnsi="Arial"/>
                <w:sz w:val="17"/>
              </w:rPr>
              <w:t>Choose HTTP/serverless or long-lived gRPC only after naming consumers; set availability, latency, cost, retention, and recovery targets from pilot evidence.</w:t>
            </w:r>
          </w:p>
        </w:tc>
      </w:tr>
    </w:tbl>
    <w:p>
      <w:r>
        <w:br w:type="page"/>
      </w:r>
    </w:p>
    <w:p>
      <w:pPr>
        <w:pStyle w:val="Heading1"/>
      </w:pPr>
      <w:r>
        <w:t>TABLE OF CONTENTS</w:t>
      </w:r>
    </w:p>
    <w:tbl>
      <w:tblPr>
        <w:tblW w:type="auto" w:w="0"/>
        <w:jc w:val="center"/>
        <w:tblLayout w:type="fixed"/>
        <w:tblLook w:firstColumn="1" w:firstRow="1" w:lastColumn="0" w:lastRow="0" w:noHBand="0" w:noVBand="1" w:val="04A0"/>
      </w:tblPr>
      <w:tblGrid>
        <w:gridCol w:w="8784"/>
        <w:gridCol w:w="648"/>
      </w:tblGrid>
      <w:tr>
        <w:tc>
          <w:tcPr>
            <w:tcW w:type="dxa" w:w="8784"/>
            <w:vAlign w:val="center"/>
            <w:tcBorders>
              <w:top w:val="nil"/>
              <w:left w:val="nil"/>
              <w:bottom w:val="nil"/>
              <w:right w:val="nil"/>
              <w:insideH w:val="nil"/>
              <w:insideV w:val="nil"/>
            </w:tcBorders>
          </w:tcPr>
          <w:p>
            <w:pPr>
              <w:spacing w:after="40"/>
            </w:pPr>
            <w:r/>
            <w:r>
              <w:rPr>
                <w:rFonts w:ascii="Arial" w:hAnsi="Arial"/>
                <w:b/>
                <w:sz w:val="18"/>
              </w:rPr>
              <w:t>CUSTOMER PERSPECTIVE</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3</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MOCKUPS / EXAMPLE USES</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4</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REQ 1. GitHub intake and source pinning</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4</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REQ 2. Generic ADR applicability and evaluation</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4</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REQ 3. Evidence-backed results and review</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5</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REQ 4. Direct team API integration with SigV4</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5</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REQ 5. Usage, outcomes, and AI spend dashboard</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5</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ARCHITECTURE</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6</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SECURITY</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6</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PRIVACY</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TESTING</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CERTIFICATION</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PERMISSIONING</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ROLLOUT</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COMMUNICATIONS</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7</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DOCUMENTATION</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8</w:t>
            </w:r>
          </w:p>
        </w:tc>
      </w:tr>
      <w:tr>
        <w:tc>
          <w:tcPr>
            <w:tcW w:type="dxa" w:w="8784"/>
            <w:vAlign w:val="center"/>
            <w:tcBorders>
              <w:top w:val="nil"/>
              <w:left w:val="nil"/>
              <w:bottom w:val="nil"/>
              <w:right w:val="nil"/>
              <w:insideH w:val="nil"/>
              <w:insideV w:val="nil"/>
            </w:tcBorders>
          </w:tcPr>
          <w:p>
            <w:pPr>
              <w:spacing w:after="40"/>
            </w:pPr>
            <w:r/>
            <w:r>
              <w:rPr>
                <w:rFonts w:ascii="Arial" w:hAnsi="Arial"/>
                <w:b/>
                <w:sz w:val="18"/>
              </w:rPr>
              <w:t>SIGN OFF</w:t>
            </w:r>
          </w:p>
        </w:tc>
        <w:tc>
          <w:tcPr>
            <w:tcW w:type="dxa" w:w="648"/>
            <w:vAlign w:val="center"/>
            <w:tcBorders>
              <w:top w:val="nil"/>
              <w:left w:val="nil"/>
              <w:bottom w:val="nil"/>
              <w:right w:val="nil"/>
              <w:insideH w:val="nil"/>
              <w:insideV w:val="nil"/>
            </w:tcBorders>
          </w:tcPr>
          <w:p>
            <w:pPr>
              <w:spacing w:after="40"/>
              <w:jc w:val="right"/>
            </w:pPr>
            <w:r/>
            <w:r>
              <w:rPr>
                <w:rFonts w:ascii="Arial" w:hAnsi="Arial"/>
                <w:b w:val="0"/>
                <w:sz w:val="18"/>
              </w:rPr>
              <w:t>8</w:t>
            </w:r>
          </w:p>
        </w:tc>
      </w:tr>
    </w:tbl>
    <w:p>
      <w:r>
        <w:br w:type="page"/>
      </w:r>
    </w:p>
    <w:p>
      <w:pPr>
        <w:pStyle w:val="Heading1"/>
      </w:pPr>
      <w:r>
        <w:t>CUSTOMER PERSPECTIVE</w:t>
      </w:r>
    </w:p>
    <w:tbl>
      <w:tblPr>
        <w:tblW w:type="auto" w:w="0"/>
        <w:jc w:val="center"/>
        <w:tblLook w:firstColumn="1" w:firstRow="1" w:lastColumn="0" w:lastRow="0" w:noHBand="0" w:noVBand="1" w:val="04A0"/>
      </w:tblPr>
      <w:tblGrid>
        <w:gridCol w:w="9994"/>
      </w:tblGrid>
      <w:tr>
        <w:tc>
          <w:tcPr>
            <w:tcW w:type="dxa" w:w="9994"/>
            <w:tcBorders>
              <w:top w:val="single" w:sz="6" w:color="8EA2B5"/>
              <w:left w:val="single" w:sz="6" w:color="8EA2B5"/>
              <w:bottom w:val="single" w:sz="6" w:color="8EA2B5"/>
              <w:right w:val="single" w:sz="6" w:color="8EA2B5"/>
              <w:insideH w:val="single" w:sz="6" w:color="8EA2B5"/>
              <w:insideV w:val="single" w:sz="6" w:color="8EA2B5"/>
            </w:tcBorders>
          </w:tcPr>
          <w:p>
            <w:pPr>
              <w:jc w:val="center"/>
            </w:pPr>
            <w:r/>
            <w:r>
              <w:rPr>
                <w:rFonts w:ascii="Arial" w:hAnsi="Arial"/>
                <w:b/>
                <w:color w:val="17324D"/>
                <w:sz w:val="20"/>
              </w:rPr>
              <w:t>WHY DID WE DECIDE TO BUILD THIS PRODUCT?</w:t>
            </w:r>
          </w:p>
          <w:p>
            <w:pPr>
              <w:spacing w:before="100" w:after="20"/>
            </w:pPr>
            <w:r>
              <w:rPr>
                <w:rFonts w:ascii="Arial" w:hAnsi="Arial"/>
                <w:b/>
                <w:color w:val="285A8E"/>
                <w:sz w:val="18"/>
              </w:rPr>
              <w:t>What is the problem?</w:t>
            </w:r>
          </w:p>
          <w:p>
            <w:pPr>
              <w:spacing w:after="80"/>
            </w:pPr>
            <w:r>
              <w:rPr>
                <w:rFonts w:ascii="Arial" w:hAnsi="Arial"/>
                <w:sz w:val="17"/>
              </w:rPr>
              <w:t>Engineers and reviewers must locate governing ADRs, determine current status and scope, compare them with specs/code, and explain evidence manually. Search similarity alone can return irrelevant or superseded decisions; automated conclusions without precise evidence can create false assurance.</w:t>
            </w:r>
          </w:p>
          <w:p>
            <w:pPr>
              <w:spacing w:before="100" w:after="20"/>
            </w:pPr>
            <w:r>
              <w:rPr>
                <w:rFonts w:ascii="Arial" w:hAnsi="Arial"/>
                <w:b/>
                <w:color w:val="285A8E"/>
                <w:sz w:val="18"/>
              </w:rPr>
              <w:t>What user problem does it address?</w:t>
            </w:r>
          </w:p>
          <w:p>
            <w:pPr>
              <w:spacing w:after="80"/>
            </w:pPr>
            <w:r>
              <w:rPr>
                <w:rFonts w:ascii="Arial" w:hAnsi="Arial"/>
                <w:sz w:val="17"/>
              </w:rPr>
              <w:t>Users need to submit a real technical spec or code change in the workflow they already use and receive traceable, uncertainty-aware findings without manually constructing predicates or observations.</w:t>
            </w:r>
          </w:p>
          <w:p>
            <w:pPr>
              <w:spacing w:before="100" w:after="20"/>
            </w:pPr>
            <w:r>
              <w:rPr>
                <w:rFonts w:ascii="Arial" w:hAnsi="Arial"/>
                <w:b/>
                <w:color w:val="285A8E"/>
                <w:sz w:val="18"/>
              </w:rPr>
              <w:t>What is the product vision?</w:t>
            </w:r>
          </w:p>
          <w:p>
            <w:pPr>
              <w:spacing w:after="80"/>
            </w:pPr>
            <w:r>
              <w:rPr>
                <w:rFonts w:ascii="Arial" w:hAnsi="Arial"/>
                <w:sz w:val="17"/>
              </w:rPr>
              <w:t>Make evidence-backed architecture review a routine part of GitHub and internal engineering workflows, with a governed dashboard for usage, outcomes, and AI spend; use generic decision and collector patterns that scale with the ADR corpus.</w:t>
            </w:r>
          </w:p>
          <w:p>
            <w:pPr>
              <w:spacing w:before="100" w:after="20"/>
            </w:pPr>
            <w:r>
              <w:rPr>
                <w:rFonts w:ascii="Arial" w:hAnsi="Arial"/>
                <w:b/>
                <w:color w:val="285A8E"/>
                <w:sz w:val="18"/>
              </w:rPr>
              <w:t>Who are the personas or use cases?</w:t>
            </w:r>
          </w:p>
          <w:p>
            <w:pPr>
              <w:spacing w:after="80"/>
            </w:pPr>
            <w:r>
              <w:rPr>
                <w:rFonts w:ascii="Arial" w:hAnsi="Arial"/>
                <w:sz w:val="17"/>
              </w:rPr>
              <w:t>Engineers and design authors; PR reviewers and tech leads; architecture decision owners; platform/security administrators; service operators; and teams integrating the API into CI/CD, release, and internal platform flows.</w:t>
            </w:r>
          </w:p>
          <w:p>
            <w:pPr>
              <w:spacing w:before="100" w:after="20"/>
            </w:pPr>
            <w:r>
              <w:rPr>
                <w:rFonts w:ascii="Arial" w:hAnsi="Arial"/>
                <w:b/>
                <w:color w:val="285A8E"/>
                <w:sz w:val="18"/>
              </w:rPr>
              <w:t>Who is the ideal buyer and/or user?</w:t>
            </w:r>
          </w:p>
          <w:p>
            <w:pPr>
              <w:spacing w:after="80"/>
            </w:pPr>
            <w:r>
              <w:rPr>
                <w:rFonts w:ascii="Arial" w:hAnsi="Arial"/>
                <w:sz w:val="17"/>
              </w:rPr>
              <w:t>The initial buyer/owner is TBD. Target users are organizations with a maintained ADR corpus, GitHub-centric engineering, and a need to scale architecture review across teams.</w:t>
            </w:r>
          </w:p>
          <w:p>
            <w:pPr>
              <w:spacing w:before="100" w:after="20"/>
            </w:pPr>
            <w:r>
              <w:rPr>
                <w:rFonts w:ascii="Arial" w:hAnsi="Arial"/>
                <w:b/>
                <w:color w:val="285A8E"/>
                <w:sz w:val="18"/>
              </w:rPr>
              <w:t>How will the product help?</w:t>
            </w:r>
          </w:p>
          <w:p>
            <w:pPr>
              <w:spacing w:after="80"/>
            </w:pPr>
            <w:r>
              <w:rPr>
                <w:rFonts w:ascii="Arial" w:hAnsi="Arial"/>
                <w:sz w:val="17"/>
              </w:rPr>
              <w:t>It pins source versions, retrieves candidate decisions, establishes applicability before comparison, validates cited evidence, and summarizes results. A versioned HTTPS API lets engineering systems submit jobs using SigV4 and short-lived AWS credentials.</w:t>
            </w:r>
          </w:p>
          <w:p>
            <w:pPr>
              <w:spacing w:before="100" w:after="20"/>
            </w:pPr>
            <w:r>
              <w:rPr>
                <w:rFonts w:ascii="Arial" w:hAnsi="Arial"/>
                <w:b/>
                <w:color w:val="285A8E"/>
                <w:sz w:val="18"/>
              </w:rPr>
              <w:t>Current solutions or alternatives? How will this be better?</w:t>
            </w:r>
          </w:p>
          <w:p>
            <w:pPr>
              <w:spacing w:after="80"/>
            </w:pPr>
            <w:r>
              <w:rPr>
                <w:rFonts w:ascii="Arial" w:hAnsi="Arial"/>
                <w:sz w:val="17"/>
              </w:rPr>
              <w:t>Current alternatives include manual search/review, repository-specific scripts, and generic AI assistants. The proposed service combines reusable typed evaluation with provenance, applicability rules, deterministic checks, and governed AI assessment. Comparative advantage must be confirmed in pilot usability and quality studies.</w:t>
            </w:r>
          </w:p>
          <w:p>
            <w:pPr>
              <w:spacing w:before="100" w:after="20"/>
            </w:pPr>
            <w:r>
              <w:rPr>
                <w:rFonts w:ascii="Arial" w:hAnsi="Arial"/>
                <w:b/>
                <w:color w:val="285A8E"/>
                <w:sz w:val="18"/>
              </w:rPr>
              <w:t>What are concrete use cases?</w:t>
            </w:r>
          </w:p>
          <w:p>
            <w:pPr>
              <w:spacing w:after="80"/>
            </w:pPr>
            <w:r>
              <w:rPr>
                <w:rFonts w:ascii="Arial" w:hAnsi="Arial"/>
                <w:sz w:val="17"/>
              </w:rPr>
              <w:t>Check a PR against applicable ADRs; check a Markdown technical design; compare spec requirements to implementation; identify out-of-scope/superseded decisions; identify missing evidence; capture human dispositions; report catalog metadata and retrieval quality gaps.</w:t>
            </w:r>
          </w:p>
          <w:p>
            <w:pPr>
              <w:spacing w:before="100" w:after="20"/>
            </w:pPr>
            <w:r>
              <w:rPr>
                <w:rFonts w:ascii="Arial" w:hAnsi="Arial"/>
                <w:b/>
                <w:color w:val="285A8E"/>
                <w:sz w:val="18"/>
              </w:rPr>
              <w:t>What evidence supports the need?</w:t>
            </w:r>
          </w:p>
          <w:p>
            <w:pPr>
              <w:spacing w:after="80"/>
            </w:pPr>
            <w:r>
              <w:rPr>
                <w:rFonts w:ascii="Arial" w:hAnsi="Arial"/>
                <w:sz w:val="17"/>
              </w:rPr>
              <w:t>The current project contains an executable GitHub Actions prototype, a generic catalog evaluation spine, a 200-entry prototype corpus, and a documented target architecture. These establish technical exploration, not independent customer validation or production accuracy. User research and baseline time-to-review data remain to be collected.</w:t>
            </w:r>
          </w:p>
        </w:tc>
      </w:tr>
    </w:tbl>
    <w:p>
      <w:r>
        <w:br w:type="page"/>
      </w:r>
    </w:p>
    <w:p>
      <w:pPr>
        <w:pStyle w:val="Heading1"/>
      </w:pPr>
      <w:r>
        <w:t>MOCKUPS / EXAMPLE USES</w:t>
      </w:r>
    </w:p>
    <w:p>
      <w:pPr>
        <w:widowControl/>
      </w:pPr>
      <w:r>
        <w:rPr>
          <w:rFonts w:ascii="Arial" w:hAnsi="Arial"/>
          <w:i w:val="0"/>
          <w:sz w:val="18"/>
        </w:rPr>
        <w:t>The finished experience should work inside GitHub, from a team’s own automation, and through an authenticated dashboard. A PR check or issue comment shows advisory status, outcome counts, catalog/source revisions, limitations, and a link to an authorized report. A direct API client submits a pinned source using SigV4 and receives a job ID/status URL, then polls or consumes an approved completion event. The dashboard shows workspace-scoped usage and outcome trends, evidence completeness, review dispositions, and AI usage/spend with clear freshness and estimation status. Each finding includes applicability, source locations, counter-evidence, separate severity and evidence quality, and a reviewer disposition. No mock UI is represented as an implemented production interface.</w:t>
      </w:r>
    </w:p>
    <w:p>
      <w:pPr>
        <w:pStyle w:val="Heading2"/>
      </w:pPr>
      <w:r>
        <w:t>Example result</w:t>
      </w:r>
    </w:p>
    <w:tbl>
      <w:tblPr>
        <w:tblW w:type="auto" w:w="0"/>
        <w:jc w:val="center"/>
        <w:tblLook w:firstColumn="1" w:firstRow="1" w:lastColumn="0" w:lastRow="0" w:noHBand="0" w:noVBand="1" w:val="04A0"/>
      </w:tblPr>
      <w:tblGrid>
        <w:gridCol w:w="4997"/>
        <w:gridCol w:w="4997"/>
      </w:tblGrid>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Analysis</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PR #482 · head 7f2c… · catalog version 2026.10.19</w:t>
            </w:r>
          </w:p>
        </w:tc>
      </w:tr>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Overall</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Review recommended — 1 potential deviation, 2 aligned with evidence, 1 inconclusive</w:t>
            </w:r>
          </w:p>
        </w:tc>
      </w:tr>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Finding</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ADR-PLATFORM-006 requires encryption at rest; Terraform resource at infra/db.tf:44 disables storage encryption.</w:t>
            </w:r>
          </w:p>
        </w:tc>
      </w:tr>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Applicability</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Decision is active for the production data tier; source metadata and repo ownership matched.</w:t>
            </w:r>
          </w:p>
        </w:tc>
      </w:tr>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Evidence</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PR head SHA and ADR source version are pinned; evidence links resolve to analyzed versions.</w:t>
            </w:r>
          </w:p>
        </w:tc>
      </w:tr>
      <w:tr>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color w:val="17324D"/>
                <w:sz w:val="17"/>
              </w:rPr>
              <w:t>Limitations</w:t>
            </w:r>
          </w:p>
        </w:tc>
        <w:tc>
          <w:tcPr>
            <w:tcW w:type="dxa" w:w="4997"/>
            <w:vAlign w:val="center"/>
            <w:tcBorders>
              <w:top w:val="single" w:sz="4" w:color="8EA2B5"/>
              <w:left w:val="single" w:sz="4" w:color="8EA2B5"/>
              <w:bottom w:val="single" w:sz="4" w:color="8EA2B5"/>
              <w:right w:val="single" w:sz="4" w:color="8EA2B5"/>
              <w:insideH w:val="single" w:sz="4" w:color="8EA2B5"/>
              <w:insideV w:val="single" w:sz="4" w:color="8EA2B5"/>
            </w:tcBorders>
          </w:tcPr>
          <w:p>
            <w:pPr>
              <w:spacing w:after="40"/>
            </w:pPr>
            <w:r/>
            <w:r>
              <w:rPr>
                <w:rFonts w:ascii="Arial" w:hAnsi="Arial"/>
                <w:b w:val="0"/>
                <w:sz w:val="17"/>
              </w:rPr>
              <w:t>One changed file was skipped by policy. Result is advisory and does not block merge.</w:t>
            </w:r>
          </w:p>
        </w:tc>
      </w:tr>
    </w:tbl>
    <w:p>
      <w:pPr>
        <w:pStyle w:val="Heading1"/>
      </w:pPr>
      <w:r>
        <w:t>REQ 1. GitHub intake and source pinning</w:t>
      </w:r>
    </w:p>
    <w:p>
      <w:pPr>
        <w:widowControl/>
      </w:pPr>
      <w:r>
        <w:rPr>
          <w:rFonts w:ascii="Arial" w:hAnsi="Arial"/>
          <w:i w:val="0"/>
          <w:sz w:val="18"/>
        </w:rPr>
        <w:t>The service accepts supported PR/spec/code inputs from authorized workspaces and pins every source to an immutable commit, content version, or hash. GitHub events are authenticated and deduplicated. Forks or unauthorized repositories are denied. Unsupported, secret-bearing, binary, or oversized files are skipped or rejected according to policy, with explicit limitations and no invented observations.</w:t>
      </w:r>
    </w:p>
    <w:p>
      <w:pPr>
        <w:pStyle w:val="ListBullet"/>
        <w:spacing w:after="40"/>
      </w:pPr>
      <w:r>
        <w:t>Acceptance: repeated delivery of the same event converges on one logical job; the same idempotency key with a different request returns a conflict.</w:t>
      </w:r>
    </w:p>
    <w:p>
      <w:pPr>
        <w:pStyle w:val="ListBullet"/>
        <w:spacing w:after="40"/>
      </w:pPr>
      <w:r>
        <w:t>Acceptance: PR findings link to the exact analyzed revision and remain labeled stale if source changes before publication.</w:t>
      </w:r>
    </w:p>
    <w:p>
      <w:pPr>
        <w:pStyle w:val="ListBullet"/>
        <w:spacing w:after="40"/>
      </w:pPr>
      <w:r>
        <w:t>Acceptance: input limits, path exclusions, encoding/parser failures, and skipped files are visible in the report.</w:t>
      </w:r>
    </w:p>
    <w:p>
      <w:pPr>
        <w:pStyle w:val="Heading1"/>
      </w:pPr>
      <w:r>
        <w:t>REQ 2. Generic ADR applicability and evaluation</w:t>
      </w:r>
    </w:p>
    <w:p>
      <w:pPr>
        <w:widowControl/>
      </w:pPr>
      <w:r>
        <w:rPr>
          <w:rFonts w:ascii="Arial" w:hAnsi="Arial"/>
          <w:i w:val="0"/>
          <w:sz w:val="18"/>
        </w:rPr>
        <w:t>The service retrieves candidates from the authoritative catalog, applies lifecycle and explicit scope rules before comparing evidence, and evaluates typed requirements using reusable predicate and collector kinds. Adding a decision that uses an existing kind requires catalog content and metadata, not an ADR-specific code path or workflow.</w:t>
      </w:r>
    </w:p>
    <w:p>
      <w:pPr>
        <w:pStyle w:val="ListBullet"/>
        <w:spacing w:after="40"/>
      </w:pPr>
      <w:r>
        <w:t>Acceptance: same kind and predicate shape under different ADR IDs follows the same evaluator behavior for equivalent observations.</w:t>
      </w:r>
    </w:p>
    <w:p>
      <w:pPr>
        <w:pStyle w:val="ListBullet"/>
        <w:spacing w:after="40"/>
      </w:pPr>
      <w:r>
        <w:t>Acceptance: out-of-scope and superseded decisions are not treated as binding or as aligned; ambiguous scope remains unresolved.</w:t>
      </w:r>
    </w:p>
    <w:p>
      <w:pPr>
        <w:pStyle w:val="ListBullet"/>
        <w:spacing w:after="40"/>
      </w:pPr>
      <w:r>
        <w:t>Acceptance: when no requirements apply, the report says no applicable requirements were assessed, not “all aligned.”</w:t>
      </w:r>
    </w:p>
    <w:p>
      <w:r>
        <w:br w:type="page"/>
      </w:r>
    </w:p>
    <w:p>
      <w:pPr>
        <w:pStyle w:val="Heading1"/>
      </w:pPr>
      <w:r>
        <w:t>REQ 3. Evidence-backed results and review</w:t>
      </w:r>
    </w:p>
    <w:p>
      <w:pPr>
        <w:widowControl/>
      </w:pPr>
      <w:r>
        <w:rPr>
          <w:rFonts w:ascii="Arial" w:hAnsi="Arial"/>
          <w:i w:val="0"/>
          <w:sz w:val="18"/>
        </w:rPr>
        <w:t>The service produces typed findings with distinct outcome, severity, evidence quality/confidence, applicability, and review state. Every actionable finding cites exact decision and input versions plus resolvable source locations. Missing evidence is inconclusive, not compliance. The system persists report provenance and supports reviewer dispositions without changing ADRs or source code.</w:t>
      </w:r>
    </w:p>
    <w:p>
      <w:pPr>
        <w:pStyle w:val="ListBullet"/>
        <w:spacing w:after="40"/>
      </w:pPr>
      <w:r>
        <w:t>Acceptance: fabricated, stale, cross-job, or mismatched evidence references cannot be published as validated deviations.</w:t>
      </w:r>
    </w:p>
    <w:p>
      <w:pPr>
        <w:pStyle w:val="ListBullet"/>
        <w:spacing w:after="40"/>
      </w:pPr>
      <w:r>
        <w:t>Acceptance: partial evidence remains partial; confidence does not change severity; no model timeout or malformed output becomes “no deviation.”</w:t>
      </w:r>
    </w:p>
    <w:p>
      <w:pPr>
        <w:pStyle w:val="ListBullet"/>
        <w:spacing w:after="40"/>
      </w:pPr>
      <w:r>
        <w:t>Acceptance: comments are concise and safe; full source bodies and raw prompts are not echoed.</w:t>
      </w:r>
    </w:p>
    <w:p>
      <w:pPr>
        <w:pStyle w:val="Heading1"/>
      </w:pPr>
      <w:r>
        <w:t>REQ 4. Direct team API integration with SigV4</w:t>
      </w:r>
    </w:p>
    <w:p>
      <w:pPr>
        <w:widowControl/>
      </w:pPr>
      <w:r>
        <w:rPr>
          <w:rFonts w:ascii="Arial" w:hAnsi="Arial"/>
          <w:i w:val="0"/>
          <w:sz w:val="18"/>
        </w:rPr>
        <w:t>Engineering teams can call a versioned HTTPS JSON API from CI/CD, release pipelines, internal developer platforms, and service automation. API Gateway IAM authorization requires SigV4. Callers use temporary credentials from workload roles or approved federation such as GitHub Actions OIDC; the service does not issue shared static API keys. Route-scoped IAM permission authenticates invocation, while service-side authorization maps the principal to approved workspaces and repositories.</w:t>
      </w:r>
    </w:p>
    <w:p>
      <w:pPr>
        <w:pStyle w:val="ListBullet"/>
        <w:spacing w:after="40"/>
      </w:pPr>
      <w:r>
        <w:t>Acceptance: a team can submit an idempotent job, receive HTTP 202 with job ID/status URL, poll status, retrieve findings, and request cancellation using temporary AWS credentials.</w:t>
      </w:r>
    </w:p>
    <w:p>
      <w:pPr>
        <w:pStyle w:val="ListBullet"/>
        <w:spacing w:after="40"/>
      </w:pPr>
      <w:r>
        <w:t>Acceptance: least-privilege policies scope `execute-api:Invoke` by stage, method, and route; workspace authorization is enforced independently.</w:t>
      </w:r>
    </w:p>
    <w:p>
      <w:pPr>
        <w:pStyle w:val="ListBullet"/>
        <w:spacing w:after="40"/>
      </w:pPr>
      <w:r>
        <w:t>Acceptance: OpenAPI, Go, and CLI examples; GitHub Actions OIDC onboarding; payload limits; errors/retry semantics; and credential revocation are documented.</w:t>
      </w:r>
    </w:p>
    <w:p>
      <w:pPr>
        <w:pStyle w:val="ListBullet"/>
        <w:spacing w:after="40"/>
      </w:pPr>
      <w:r>
        <w:t>Acceptance: unauthenticated routes are denied; signature/authentication failures, IAM denial, workspace denial, throttling, and idempotency conflicts have distinct safe errors.</w:t>
      </w:r>
    </w:p>
    <w:p>
      <w:pPr>
        <w:pStyle w:val="Heading1"/>
      </w:pPr>
      <w:r>
        <w:t>REQ 5. Usage, outcomes, and AI spend dashboard</w:t>
      </w:r>
    </w:p>
    <w:p>
      <w:pPr>
        <w:widowControl/>
      </w:pPr>
      <w:r>
        <w:rPr>
          <w:rFonts w:ascii="Arial" w:hAnsi="Arial"/>
          <w:i w:val="0"/>
          <w:sz w:val="18"/>
        </w:rPr>
        <w:t>The product provides authenticated, role- and workspace-scoped dashboards for analysis volume, outcome distributions and trends, job/evidence completeness, review dispositions, and model usage/spend. Charts show counts, denominators, filters, and data freshness. AI cost distinguishes provider-reported usage, calculated estimates, and reconciled billed cost. The dashboard supports governance and operational insight, not employee ranking or a compliance score.</w:t>
      </w:r>
    </w:p>
    <w:p>
      <w:pPr>
        <w:pStyle w:val="ListBullet"/>
        <w:spacing w:after="40"/>
      </w:pPr>
      <w:r>
        <w:t>Acceptance: authorized users can filter trends by time, workspace, repository/service, domain, input type, integration, and outcome, then open only reports they are authorized to access.</w:t>
      </w:r>
    </w:p>
    <w:p>
      <w:pPr>
        <w:pStyle w:val="ListBullet"/>
        <w:spacing w:after="40"/>
      </w:pPr>
      <w:r>
        <w:t>Acceptance: deviation, partial alignment, supported alignment, not-applicable, and inconclusive totals reconcile to durable findings/jobs; rates disclose their denominator and excluded/incomplete jobs.</w:t>
      </w:r>
    </w:p>
    <w:p>
      <w:pPr>
        <w:pStyle w:val="ListBullet"/>
        <w:spacing w:after="40"/>
      </w:pPr>
      <w:r>
        <w:t>Acceptance: calls, token usage by type when available, retries, budget use/denials, and estimated or reconciled spend are visible with metering freshness; missing provider usage is labeled.</w:t>
      </w:r>
    </w:p>
    <w:p>
      <w:pPr>
        <w:pStyle w:val="ListBullet"/>
        <w:spacing w:after="40"/>
      </w:pPr>
      <w:r>
        <w:t>Acceptance: workspace boundaries and aggregate privacy controls prevent cross-workspace disclosure and individual employee performance ranking.</w:t>
      </w:r>
    </w:p>
    <w:p>
      <w:r>
        <w:br w:type="page"/>
      </w:r>
    </w:p>
    <w:p>
      <w:pPr>
        <w:pStyle w:val="Heading1"/>
      </w:pPr>
      <w:r>
        <w:t>ARCHITECTURE</w:t>
      </w:r>
    </w:p>
    <w:p>
      <w:pPr>
        <w:widowControl/>
      </w:pPr>
      <w:r>
        <w:rPr>
          <w:rFonts w:ascii="Arial" w:hAnsi="Arial"/>
          <w:i w:val="0"/>
          <w:sz w:val="18"/>
        </w:rPr>
        <w:t>Working target: engineering clients call API Gateway HTTP API routes protected by AWS_IAM and SigV4. GitHub webhooks enter through a separate signature-validated GitHub App endpoint. The control plane commits the job, idempotency record, and durable dispatch intent in Aurora PostgreSQL, then a dispatcher/reconciler starts Step Functions. Step Functions invokes bounded Go Lambda stages for intake, normalization, retrieval, collection, assessment, validation, persistence, and publication. S3 stores large immutable artifacts when needed. Go services use OpenTelemetry APIs/SDKs for traces, metrics, and structured logs, exported over an approved Collector/OTLP pipeline to CloudWatch (working backend assumption); dashboard analytics come from durable product records, not raw telemetry.</w:t>
      </w:r>
    </w:p>
    <w:p>
      <w:pPr>
        <w:widowControl/>
      </w:pPr>
      <w:r>
        <w:rPr>
          <w:rFonts w:ascii="Arial" w:hAnsi="Arial"/>
          <w:i w:val="0"/>
          <w:color w:val="555B62"/>
          <w:sz w:val="18"/>
        </w:rPr>
        <w:t>Clients use short-lived AWS credentials and narrowly scoped `execute-api:Invoke` policies; cross-account callers are assumed to use an approved role in the service account, mapped to a workspace. HTTP API is the default direct integration profile; it does not support API resource policies. If private endpoint/resource-policy controls are required, use a private REST API or approved private ingress. Protobuf remains a typed internal contract; public gRPC is not the default. The exact PostgreSQL/pgvector and Bedrock embedding data flow needs owner validation.</w:t>
      </w:r>
    </w:p>
    <w:p>
      <w:pPr>
        <w:pStyle w:val="Heading1"/>
      </w:pPr>
      <w:r>
        <w:t>SECURITY</w:t>
      </w:r>
    </w:p>
    <w:p>
      <w:pPr>
        <w:widowControl/>
      </w:pPr>
      <w:r>
        <w:rPr>
          <w:rFonts w:ascii="Arial" w:hAnsi="Arial"/>
          <w:i w:val="0"/>
          <w:sz w:val="18"/>
        </w:rPr>
        <w:t>The system treats issue text, code, ADRs, retrieved passages, and model output as untrusted data. It has no autonomous write access to repositories, ADRs, AWS resources, or credentials. All source references, authorization, evidence IDs, versions, outcomes, and state transitions are validated in application code before persistence or publication.</w:t>
      </w:r>
    </w:p>
    <w:p>
      <w:pPr>
        <w:spacing w:after="40"/>
      </w:pPr>
      <w:r>
        <w:rPr>
          <w:b/>
          <w:i/>
          <w:color w:val="17324D"/>
        </w:rPr>
        <w:t>Access Controls</w:t>
      </w:r>
      <w:r>
        <w:br/>
        <w:t>Authorize each workspace, repository, job, finding, evidence, cancellation, review, and publication request. Scope `execute-api:Invoke`, GitHub App permissions, and worker IAM to the minimum required.</w:t>
      </w:r>
    </w:p>
    <w:p>
      <w:pPr>
        <w:spacing w:after="40"/>
      </w:pPr>
      <w:r>
        <w:rPr>
          <w:b/>
          <w:i/>
          <w:color w:val="17324D"/>
        </w:rPr>
        <w:t>Authentication</w:t>
      </w:r>
      <w:r>
        <w:br/>
        <w:t>Require SigV4/IAM for direct API routes with temporary role credentials; separately map the principal to permitted workspaces. Validate GitHub webhook signatures and installation identity. Do not provision shared static API secrets.</w:t>
      </w:r>
    </w:p>
    <w:p>
      <w:pPr>
        <w:spacing w:after="40"/>
      </w:pPr>
      <w:r>
        <w:rPr>
          <w:b/>
          <w:i/>
          <w:color w:val="17324D"/>
        </w:rPr>
        <w:t>Data Management</w:t>
      </w:r>
      <w:r>
        <w:br/>
        <w:t>Encrypt approved data in transit and at rest; use managed secrets and key rotation. Separate source artifacts, derived indexes, findings, usage, and audit with class-specific access and retention.</w:t>
      </w:r>
    </w:p>
    <w:p>
      <w:pPr>
        <w:spacing w:after="40"/>
      </w:pPr>
      <w:r>
        <w:rPr>
          <w:b/>
          <w:i/>
          <w:color w:val="17324D"/>
        </w:rPr>
        <w:t>Error Messages &amp; Logging</w:t>
      </w:r>
      <w:r>
        <w:br/>
        <w:t>Use stable classified errors. Log opaque IDs and safe metadata; never log secrets, raw private code, full prompts, or unredacted model output by default.</w:t>
      </w:r>
    </w:p>
    <w:p>
      <w:pPr>
        <w:spacing w:after="40"/>
      </w:pPr>
      <w:r>
        <w:rPr>
          <w:b/>
          <w:i/>
          <w:color w:val="17324D"/>
        </w:rPr>
        <w:t>Testing &amp; Deployment</w:t>
      </w:r>
      <w:r>
        <w:br/>
        <w:t>Require contract/security checks, dependency and secret scanning, reviewed infrastructure changes, staged deployment, rollback, and audited production access.</w:t>
      </w:r>
    </w:p>
    <w:p>
      <w:pPr>
        <w:spacing w:after="40"/>
      </w:pPr>
      <w:r>
        <w:rPr>
          <w:b/>
          <w:i/>
          <w:color w:val="17324D"/>
        </w:rPr>
        <w:t>Network</w:t>
      </w:r>
      <w:r>
        <w:br/>
        <w:t>Restrict egress to approved providers and GitHub/AWS endpoints; define private network paths, TLS, DNS, and regional boundaries during architecture review.</w:t>
      </w:r>
    </w:p>
    <w:p>
      <w:r>
        <w:br w:type="page"/>
      </w:r>
    </w:p>
    <w:p>
      <w:pPr>
        <w:pStyle w:val="Heading1"/>
      </w:pPr>
      <w:r>
        <w:t>PRIVACY</w:t>
      </w:r>
    </w:p>
    <w:p>
      <w:pPr>
        <w:widowControl/>
      </w:pPr>
      <w:r>
        <w:rPr>
          <w:rFonts w:ascii="Arial" w:hAnsi="Arial"/>
          <w:i w:val="0"/>
          <w:sz w:val="18"/>
        </w:rPr>
        <w:t>The service may process proprietary source code, architecture decisions, identities, and reviewer feedback. Before production data is submitted, the organization must approve classification, provider data-processing terms, allowed regions, retention/deletion, and no-send categories. Minimize model input to relevant excerpts, redact secrets under policy, and preserve a visible redaction/limitation record. User access to evidence is authorized and audited. Historical results retain only approved provenance and data for the defined retention period.</w:t>
      </w:r>
    </w:p>
    <w:p>
      <w:pPr>
        <w:pStyle w:val="Heading1"/>
      </w:pPr>
      <w:r>
        <w:t>TESTING</w:t>
      </w:r>
    </w:p>
    <w:p>
      <w:pPr>
        <w:widowControl/>
      </w:pPr>
      <w:r>
        <w:rPr>
          <w:rFonts w:ascii="Arial" w:hAnsi="Arial"/>
          <w:i w:val="0"/>
          <w:sz w:val="18"/>
        </w:rPr>
        <w:t>Release confidence requires layered deterministic, integration, resilience, security, and AI-quality evidence. Domain tests run without live AWS, database, or model services; adapters are tested with fakes/containers and isolated AWS environments. Model evaluations use approved, labeled fixtures and report before/after changes; model-as-judge is never the sole quality measure.</w:t>
      </w:r>
    </w:p>
    <w:p>
      <w:pPr>
        <w:pStyle w:val="ListBullet"/>
        <w:spacing w:after="40"/>
      </w:pPr>
      <w:r>
        <w:t>Outcome and retrieval cases: deviation, alignment, partial, not-applicable, ambiguity, insufficient evidence; irrelevant, superseded, conflicting, and poisoned decisions.</w:t>
      </w:r>
    </w:p>
    <w:p>
      <w:pPr>
        <w:pStyle w:val="ListBullet"/>
        <w:spacing w:after="40"/>
      </w:pPr>
      <w:r>
        <w:t>Evidence integrity: exact reference resolution, source-version mismatch, stale sources, line mapping, redaction, and counter-evidence.</w:t>
      </w:r>
    </w:p>
    <w:p>
      <w:pPr>
        <w:pStyle w:val="ListBullet"/>
        <w:spacing w:after="40"/>
      </w:pPr>
      <w:r>
        <w:t>Reliability and security: duplicate delivery/publication, dispatch failures, retry exhaustion, timeout after side effect, cancellation fencing, tenant isolation, SigV4/IAM scopes, OIDC trust, prompt injection, malicious files, secret leakage, and denial-of-wallet.</w:t>
      </w:r>
    </w:p>
    <w:p>
      <w:pPr>
        <w:pStyle w:val="ListBullet"/>
        <w:spacing w:after="40"/>
      </w:pPr>
      <w:r>
        <w:t>AI and operations: concurrent budget reservations, provider errors/cost reconciliation, backup/restore, schema migration, reconciliation, and runbook exercises.</w:t>
      </w:r>
    </w:p>
    <w:p>
      <w:pPr>
        <w:pStyle w:val="ListBullet"/>
        <w:spacing w:after="40"/>
      </w:pPr>
      <w:r>
        <w:t>Dashboard quality: aggregate reconciliation, denominator correctness, freshness/late data, access-control filters, small-group privacy, export auditing, and estimated-versus-reconciled AI spend.</w:t>
      </w:r>
    </w:p>
    <w:p>
      <w:pPr>
        <w:pStyle w:val="Heading1"/>
      </w:pPr>
      <w:r>
        <w:t>CERTIFICATION</w:t>
      </w:r>
    </w:p>
    <w:p>
      <w:pPr>
        <w:widowControl/>
      </w:pPr>
      <w:r>
        <w:rPr>
          <w:rFonts w:ascii="Arial" w:hAnsi="Arial"/>
          <w:i w:val="0"/>
          <w:sz w:val="18"/>
        </w:rPr>
        <w:t>No certification or compliance claim is made by this PRD. Before launch, Security, Privacy/Legal, and the applicable assurance owners must identify required reviews or attestations (for example internal threat-model approval, privacy review, and vendor/model-provider review). Required external certifications, if any, and their evidence are TBD.</w:t>
      </w:r>
    </w:p>
    <w:p>
      <w:pPr>
        <w:pStyle w:val="Heading1"/>
      </w:pPr>
      <w:r>
        <w:t>PERMISSIONING</w:t>
      </w:r>
    </w:p>
    <w:p>
      <w:pPr>
        <w:widowControl/>
      </w:pPr>
      <w:r>
        <w:rPr>
          <w:rFonts w:ascii="Arial" w:hAnsi="Arial"/>
          <w:i w:val="0"/>
          <w:sz w:val="18"/>
        </w:rPr>
        <w:t>Enablement is controlled by organization, workspace, and repository. Administrators choose allowed repositories, input classes, whether model assessment is enabled, publication mode, quotas, retention, and review policy within central security guardrails. Begin with opt-in internal shadow/advisory use. Provide a disable/kill switch and uninstall/revocation path. Pricing and packaging are outside this internal service PRD.</w:t>
      </w:r>
    </w:p>
    <w:p>
      <w:pPr>
        <w:pStyle w:val="Heading1"/>
      </w:pPr>
      <w:r>
        <w:t>ROLLOUT</w:t>
      </w:r>
    </w:p>
    <w:p>
      <w:pPr>
        <w:pStyle w:val="ListNumber"/>
        <w:spacing w:after="40"/>
      </w:pPr>
      <w:r>
        <w:t>Design and data-source decisions approved; contracts and OpenSpec scenarios reviewed.</w:t>
      </w:r>
    </w:p>
    <w:p>
      <w:pPr>
        <w:pStyle w:val="ListNumber"/>
        <w:spacing w:after="40"/>
      </w:pPr>
      <w:r>
        <w:t>Internal offline evaluation against reviewed labels; no user-facing conclusions until evidence quality is accepted.</w:t>
      </w:r>
    </w:p>
    <w:p>
      <w:pPr>
        <w:pStyle w:val="ListNumber"/>
        <w:spacing w:after="40"/>
      </w:pPr>
      <w:r>
        <w:t>Opt-in advisory pilot for limited repositories; human review required for uncertain or high-impact findings; no merge blocking.</w:t>
      </w:r>
    </w:p>
    <w:p>
      <w:pPr>
        <w:pStyle w:val="ListNumber"/>
        <w:spacing w:after="40"/>
      </w:pPr>
      <w:r>
        <w:t>Expand domains and input types based on measured misses, corpus quality, and operating cost.</w:t>
      </w:r>
    </w:p>
    <w:p>
      <w:pPr>
        <w:pStyle w:val="ListNumber"/>
        <w:spacing w:after="40"/>
      </w:pPr>
      <w:r>
        <w:t>Production readiness review verifies quality thresholds, security/privacy, support ownership, SLO/DR, backup/restore, and rollback.</w:t>
      </w:r>
    </w:p>
    <w:p>
      <w:pPr>
        <w:pStyle w:val="Heading1"/>
      </w:pPr>
      <w:r>
        <w:t>COMMUNICATIONS</w:t>
      </w:r>
    </w:p>
    <w:p>
      <w:pPr>
        <w:widowControl/>
      </w:pPr>
      <w:r>
        <w:rPr>
          <w:rFonts w:ascii="Arial" w:hAnsi="Arial"/>
          <w:i w:val="0"/>
          <w:sz w:val="18"/>
        </w:rPr>
        <w:t>Before pilot, notify repository owners, participants, security/privacy, architecture owners, and support teams about purpose, data processed, provider use, limitations, opt-in/disable path, and feedback channel. For each release, publish changed capabilities, supported formats, quality/evaluation results, known limitations, migration/permission changes, and incident contact. Notify only affected workspaces for material policy or data-handling changes.</w:t>
      </w:r>
    </w:p>
    <w:p>
      <w:r>
        <w:br w:type="page"/>
      </w:r>
    </w:p>
    <w:p>
      <w:pPr>
        <w:pStyle w:val="Heading1"/>
      </w:pPr>
      <w:r>
        <w:t>DOCUMENTATION</w:t>
      </w:r>
    </w:p>
    <w:p>
      <w:pPr>
        <w:pStyle w:val="ListBullet"/>
        <w:spacing w:after="40"/>
      </w:pPr>
      <w:r>
        <w:t>User and administrator guides: PR/spec submission, outcome interpretation, evidence review, dashboard metrics and denominators, filters, access, retention, quotas, and model settings.</w:t>
      </w:r>
    </w:p>
    <w:p>
      <w:pPr>
        <w:pStyle w:val="ListBullet"/>
        <w:spacing w:after="40"/>
      </w:pPr>
      <w:r>
        <w:t>API onboarding: OpenAPI, SigV4 examples, route-scoped IAM policies, AWS role/OIDC setup, Go/CLI examples, async polling/events, idempotency, errors, quotas, and revocation.</w:t>
      </w:r>
    </w:p>
    <w:p>
      <w:pPr>
        <w:pStyle w:val="ListBullet"/>
        <w:spacing w:after="40"/>
      </w:pPr>
      <w:r>
        <w:t>ADR integration guide: lifecycle metadata, scope, supersession, versions, ingestion, and vector-index provenance.</w:t>
      </w:r>
    </w:p>
    <w:p>
      <w:pPr>
        <w:pStyle w:val="ListBullet"/>
        <w:spacing w:after="40"/>
      </w:pPr>
      <w:r>
        <w:t>API and Protobuf contracts: compatibility, errors, and client examples.</w:t>
      </w:r>
    </w:p>
    <w:p>
      <w:pPr>
        <w:pStyle w:val="ListBullet"/>
        <w:spacing w:after="40"/>
      </w:pPr>
      <w:r>
        <w:t>Operations and security guides: OpenTelemetry pipeline, reconciliation, replay, outages, AI usage/spend reconciliation, cost controls, deletion, backup/restore, threat model, retention, and incident response.</w:t>
      </w:r>
    </w:p>
    <w:p>
      <w:pPr>
        <w:pStyle w:val="ListBullet"/>
        <w:spacing w:after="40"/>
      </w:pPr>
      <w:r>
        <w:t>Evaluation report: dataset provenance, labels, per-class metrics, limitations, and release gate decisions.</w:t>
      </w:r>
    </w:p>
    <w:p>
      <w:pPr>
        <w:pStyle w:val="Heading1"/>
      </w:pPr>
      <w:r>
        <w:t>SIGN OFF</w:t>
      </w:r>
    </w:p>
    <w:p>
      <w:pPr>
        <w:widowControl/>
      </w:pPr>
      <w:r>
        <w:rPr>
          <w:rFonts w:ascii="Arial" w:hAnsi="Arial"/>
          <w:i w:val="0"/>
          <w:sz w:val="18"/>
        </w:rPr>
        <w:t>This PRD describes the intended finished AWS product and provides a reviewable scope. Approval of this document does not approve unresolved architecture choices, model-provider data handling, implementation, or deployment. Sign-off records agreement with product scope and assigns owners for remaining decisions.</w:t>
      </w:r>
    </w:p>
    <w:tbl>
      <w:tblPr>
        <w:tblW w:type="auto" w:w="0"/>
        <w:jc w:val="center"/>
        <w:tblLook w:firstColumn="1" w:firstRow="1" w:lastColumn="0" w:lastRow="0" w:noHBand="0" w:noVBand="1" w:val="04A0"/>
      </w:tblPr>
      <w:tblGrid>
        <w:gridCol w:w="2498"/>
        <w:gridCol w:w="2498"/>
        <w:gridCol w:w="2498"/>
        <w:gridCol w:w="2498"/>
      </w:tblGrid>
      <w:tr>
        <w:tc>
          <w:tcPr>
            <w:tcW w:type="dxa" w:w="2498"/>
            <w:vAlign w:val="center"/>
            <w:shd w:fill="285A8E"/>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color w:val="FFFFFF"/>
                <w:sz w:val="17"/>
              </w:rPr>
              <w:t>Role</w:t>
            </w:r>
          </w:p>
        </w:tc>
        <w:tc>
          <w:tcPr>
            <w:tcW w:type="dxa" w:w="2498"/>
            <w:vAlign w:val="center"/>
            <w:shd w:fill="285A8E"/>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color w:val="FFFFFF"/>
                <w:sz w:val="17"/>
              </w:rPr>
              <w:t>Name</w:t>
            </w:r>
          </w:p>
        </w:tc>
        <w:tc>
          <w:tcPr>
            <w:tcW w:type="dxa" w:w="2498"/>
            <w:vAlign w:val="center"/>
            <w:shd w:fill="285A8E"/>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color w:val="FFFFFF"/>
                <w:sz w:val="17"/>
              </w:rPr>
              <w:t>Decision / comments</w:t>
            </w:r>
          </w:p>
        </w:tc>
        <w:tc>
          <w:tcPr>
            <w:tcW w:type="dxa" w:w="2498"/>
            <w:vAlign w:val="center"/>
            <w:shd w:fill="285A8E"/>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color w:val="FFFFFF"/>
                <w:sz w:val="17"/>
              </w:rPr>
              <w:t>Date</w:t>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Product Owner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Engineering Owner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Architecture Governance</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Security / Privacy</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Data / ADR Platform Owner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SRE / Operations</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r>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Evaluation / QA Owner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t>☐ Approve  ☐ Revise  ☐ Defer</w:t>
            </w:r>
          </w:p>
        </w:tc>
        <w:tc>
          <w:tcPr>
            <w:tcW w:type="dxa" w:w="2498"/>
            <w:vAlign w:val="center"/>
            <w:tcBorders>
              <w:top w:val="single" w:sz="6" w:color="8EA2B5"/>
              <w:left w:val="single" w:sz="6" w:color="8EA2B5"/>
              <w:bottom w:val="single" w:sz="6" w:color="8EA2B5"/>
              <w:right w:val="single" w:sz="6" w:color="8EA2B5"/>
              <w:insideH w:val="single" w:sz="6" w:color="8EA2B5"/>
              <w:insideV w:val="single" w:sz="6" w:color="8EA2B5"/>
            </w:tcBorders>
          </w:tcPr>
          <w:p>
            <w:pPr>
              <w:spacing w:after="40"/>
            </w:pPr>
            <w:r/>
            <w:r>
              <w:rPr>
                <w:rFonts w:ascii="Arial" w:hAnsi="Arial"/>
                <w:b w:val="0"/>
                <w:sz w:val="16"/>
              </w:rPr>
            </w:r>
          </w:p>
        </w:tc>
      </w:tr>
    </w:tbl>
    <w:p>
      <w:pPr>
        <w:widowControl/>
      </w:pPr>
      <w:r>
        <w:rPr>
          <w:rFonts w:ascii="Arial" w:hAnsi="Arial"/>
          <w:b/>
          <w:i w:val="0"/>
          <w:sz w:val="18"/>
        </w:rPr>
        <w:t>Outstanding decision register</w:t>
      </w:r>
      <w:r>
        <w:rPr>
          <w:rFonts w:ascii="Arial" w:hAnsi="Arial"/>
          <w:i w:val="0"/>
          <w:sz w:val="18"/>
        </w:rPr>
      </w:r>
    </w:p>
    <w:p>
      <w:pPr>
        <w:pStyle w:val="ListBullet"/>
        <w:spacing w:after="40"/>
      </w:pPr>
      <w:r>
        <w:t>Authoritative ADR and embedding data flow, including the role of Bedrock and PostgreSQL/pgvector.</w:t>
      </w:r>
    </w:p>
    <w:p>
      <w:pPr>
        <w:pStyle w:val="ListBullet"/>
        <w:spacing w:after="40"/>
      </w:pPr>
      <w:r>
        <w:t>Model provider and approved proprietary-data handling; current direction is direct Anthropic, subject to approval.</w:t>
      </w:r>
    </w:p>
    <w:p>
      <w:pPr>
        <w:pStyle w:val="ListBullet"/>
        <w:spacing w:after="40"/>
      </w:pPr>
      <w:r>
        <w:t>Confirm API Gateway HTTP API + IAM/SigV4; decide whether private REST API/network policy is required and whether any named client needs gRPC.</w:t>
      </w:r>
    </w:p>
    <w:p>
      <w:pPr>
        <w:pStyle w:val="ListBullet"/>
        <w:spacing w:after="40"/>
      </w:pPr>
      <w:r>
        <w:t>Cross-account role-assumption pattern, OIDC trust rules, principal-to-workspace mapping, and per-route IAM policy ownership.</w:t>
      </w:r>
    </w:p>
    <w:p>
      <w:pPr>
        <w:pStyle w:val="ListBullet"/>
        <w:spacing w:after="40"/>
      </w:pPr>
      <w:r>
        <w:t>Completion delivery: polling for first release or EventBridge events for approved AWS consumers.</w:t>
      </w:r>
    </w:p>
    <w:p>
      <w:pPr>
        <w:pStyle w:val="ListBullet"/>
        <w:spacing w:after="40"/>
      </w:pPr>
      <w:r>
        <w:t>Canonical outcome vocabulary, merge policy, waiver/exception lifecycle, and human-review thresholds.</w:t>
      </w:r>
    </w:p>
    <w:p>
      <w:pPr>
        <w:pStyle w:val="ListBullet"/>
        <w:spacing w:after="40"/>
      </w:pPr>
      <w:r>
        <w:t>Dashboard role visibility, aggregate suppression, export policy, and refresh/freshness targets.</w:t>
      </w:r>
    </w:p>
    <w:p>
      <w:pPr>
        <w:pStyle w:val="ListBullet"/>
        <w:spacing w:after="40"/>
      </w:pPr>
      <w:r>
        <w:t>Approved OpenTelemetry Collector/exporter/backend, telemetry retention/cost, and provider usage-to-billing reconciliation.</w:t>
      </w:r>
    </w:p>
    <w:p>
      <w:pPr>
        <w:pStyle w:val="ListBullet"/>
        <w:spacing w:after="40"/>
      </w:pPr>
      <w:r>
        <w:t>Retention, deletion, regionality, availability, cost, latency, RTO/RPO, and support targets.</w:t>
      </w:r>
    </w:p>
    <w:p>
      <w:pPr>
        <w:widowControl/>
      </w:pPr>
      <w:r>
        <w:rPr>
          <w:rFonts w:ascii="Arial" w:hAnsi="Arial"/>
          <w:i/>
          <w:color w:val="555B62"/>
          <w:sz w:val="18"/>
        </w:rPr>
        <w:t>Document owner: TBD   |   Next review: TBD   |   Approval state: Not yet approved</w:t>
      </w:r>
    </w:p>
    <w:sectPr w:rsidR="00FC693F" w:rsidRPr="0006063C" w:rsidSect="00034616">
      <w:headerReference w:type="default" r:id="rId9"/>
      <w:footerReference w:type="default" r:id="rId10"/>
      <w:pgSz w:w="12240" w:h="15840"/>
      <w:pgMar w:top="893" w:right="1123"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B62"/>
        <w:sz w:val="14"/>
      </w:rPr>
      <w:t>INTERNAL DRAFT  |  DEVIATION SERVICE PRODUCT REQUIREMENTS</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17324D"/>
        <w:sz w:val="16"/>
      </w:rPr>
      <w:t>◈  ADR DEVIATION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color w:val="222222"/>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85A8E"/>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85A8E"/>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24D"/>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 Deviation Service Product Requirements</dc:title>
  <dc:subject>AWS target product PRD</dc:subject>
  <dc:creator>Project team</dc:creator>
  <cp:keywords>ADR, architecture decisions, deviation analysis, GitHub, AWS</cp:keywords>
  <dc:description>generated by python-docx</dc:description>
  <cp:lastModifiedBy/>
  <cp:revision>1</cp:revision>
  <dcterms:created xsi:type="dcterms:W3CDTF">2013-12-23T23:15:00Z</dcterms:created>
  <dcterms:modified xsi:type="dcterms:W3CDTF">2013-12-23T23:15:00Z</dcterms:modified>
  <cp:category/>
</cp:coreProperties>
</file>