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2026-10-24.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2026-10-24.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4.14.0 and Playwright 1.64.0.</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one on each of two pages, carry no alternative text: the hero graphic on the home page and the avatar image on the account page have no alt attribute and no other accessible name, so a screen reader announces nothing in their place. A reader should note that anyone relying on a screen reader receives no information at all from these two images, including whatever the hero graphic conveys about the page it introduces.</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(aria-hidden-body, definition-list, dlitem, list, listitem, td-headers-attr, th-has-data-cells) found no failure on the pages scanned, and aria-required-children, aria-required-parent found no content they apply to. Automated checks only: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(link-in-text-block) found no failure on the pages scanned. Automated checks only: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(frame-focusable-content, scrollable-region-focusable, server-side-image-map) found no content they apply to on the pages scanned,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(meta-refresh) found no content they apply to on the pages scanned,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(blink, marquee) found no content they apply to on the pages scanned,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Sixteen in-page links across five pages point to a destination that is not there: after pressing Enter on each one, no element on the page has the matching id or name. These include the header skip link aiming at "main-content" on the home page and the application page, and repeated links aiming at "news" on the home page. That measurement alone does not settle this row; a person has to decide whether another mechanism bypasses the same blocks — a heading, a landmark or a collapsible block. skip-link-works could not look on 1 of 35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(document-title) found no failure on the pages scanned. Automated checks only: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have no text a screen reader can announce; each one wraps nothing but a small decorative icon that is itself hidden from assistive technology, as with the three social links repeated on the home page and the application page. A reader should note that keyboard and screen reader users reach these links in the tab order and hear nothing that identifies where they lead, so their purpose is available only to someone who can see and recognise the icon.</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(html-has-lang, html-lang-valid) found no failure on the pages scanned, and html-xml-lang-mismatch found no content it applies to. Automated checks only: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One field on the application page, the date-of-birth input, was flagged for human judgement. What was measured is that the field has more than one label element attached to it. A person has to judge the rest; the point to decide is: Multiple label elements is not widely supported in assistive technologies. Ensure the first label contains all necessary information.</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Twenty-two controls across six pages are presented to assistive technology with no usable name. Links that contain only a decorative icon hidden from screen readers, such as the social links repeated on the home page and the application page, announce nothing at all, and form fields including the Social Security number input on the application page have no label of any kind. A reader should note that screen reader and voice-control users meet these links and fields with no name by which to identify or operate them.</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(autocomplete-valid) found no failure on the pages scanned. Automated checks only: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Nine pieces of text across six pages are too faint against their background to reach the 4.5:1 minimum for ordinary-sized text. The grey "Last updated" line measures 2.81:1 on white wherever it appears, on the home, application, status and sign-in pages, and the amber "Pending" status badge on the status page measures 2.27:1. A reader should note that this text will be difficult or impossible to read for people with low vision, for older readers, and for anyone in bright light or on a dim screen.</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(meta-viewport) found no failure on the pages scanned. Automated checks only: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Eight form controls on two pages draw their keyboard focus outline in a pale yellow that measures 1.66:1 against the white surface behind it, below the 3:1 minimum; the first- and last-name inputs, the date-of-birth and Social Security number fields and the household-size menu on the application page are among them. That measurement alone does not settle this row; a person has to decide whether another visual cue identifies the focus.</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(avoid-inline-spacing) found no content they apply to on the pages scanned,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(valid-lang) found no content they apply to on the pages scanned,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