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2026-10-21.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2026-10-21.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4.14.0 and Playwright 1.64.0.</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one on each of two pages, offer no text alternative: the home page hero graphic and the avatar image on the account page carry no alternative text and no other name, so people using a screen reader hear nothing where the image sits. Readers should treat this as two confirmed instances among the images on the pages examined, and should ask how images are given text alternatives across the wider product.</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(aria-hidden-body, definition-list, dlitem, list, listitem, td-headers-attr, th-has-data-cells) found no failure on the pages scanned, and aria-required-children, aria-required-parent found no content they apply to. Automated checks only: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(link-in-text-block) found no failure on the pages scanned. Automated checks only: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(frame-focusable-content, scrollable-region-focusable, server-side-image-map) found no content they apply to on the pages scanned,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(meta-refresh) found no content they apply to on the pages scanned,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(blink, marquee) found no content they apply to on the pages scanned,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Across five pages, 16 in-page links point to destinations that do not exist: the header skip link aims at "main-content" and several body links aim at "news", and after activation no element with those names is present, so focus does not move. The missing destination is what was measured; a person has to decide whether another mechanism bypasses the same blocks — a heading, a landmark or a collapsible block. Review notes observe that some flagged links are per-row record anchors in a results table rather than bypass controls. skip-link-works could not look on 1 of 35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(document-title) found no failure on the pages scanned. Automated checks only: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have no text that a screen reader can announce. Each is an icon-only link — for example the social media links in the footer, which contain a decorative shape marked as hidden and no visible or alternative wording — so the link is reachable by keyboard but its purpose cannot be heard or read. Readers should take these as confirmed instances on the pages examined and ask how icon-only links are named elsewhere in the product.</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(html-has-lang, html-lang-valid) found no failure on the pages scanned, and html-xml-lang-mismatch found no content it applies to. Automated checks only: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On one page, the date of birth field in the application form has more than one label attached to it. What was measured is that more than one label element is associated with that single field; the wording of those labels was not captured, so a person has to judge the point as recorded: "Multiple label elements is not widely supported in assistive technologies. Ensure the first label contains all necessary information."</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Twenty-two controls across six pages are presented to assistive technology without a name. They include icon-only links whose only content is a decorative shape marked as hidden, and form controls such as the Social Security number field on the application page, which has no label, no alternative wording and no title. People using a screen reader would reach these controls but hear no indication of what each one is.</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(autocomplete-valid) found no failure on the pages scanned. Automated checks only: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Nine pieces of text across six pages are too faint against their background. The grey "Last updated October 3, 2026" line, which appears on several pages, measures 2.81:1 at around 14px, and the amber "Pending" status badge on the status page measures 2.27:1, where 4.5:1 is the minimum for text of that size. Readers should take these as confirmed instances on the pages examined and ask how the palette is checked where these colours are reused.</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(meta-viewport) found no failure on the pages scanned. Automated checks only: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On two pages, eight form controls — among them the first name, last name, date of birth and Social Security number fields and the household size menu on the application page — show a focus indicator in pale yellow measuring 1.66:1 against the white surface, below the 3:1 minimum for such visual information. That ratio is what was measured; a person has to decide whether another visual cue identifies the focus, which requires seeing each field as rendered.</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(avoid-inline-spacing) found no content they apply to on the pages scanned,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(valid-lang) found no content they apply to on the pages scanned,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