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2C3E50"/>
          <w:sz w:val="52"/>
          <w:szCs w:val="52"/>
        </w:rPr>
        <w:t xml:space="preserve">Day 1 Cost Estimation</w:t>
      </w:r>
    </w:p>
    <w:p>
      <w:pPr>
        <w:spacing w:after="60" w:before="0"/>
      </w:pPr>
      <w:r>
        <w:rPr>
          <w:rFonts w:ascii="Arial" w:cs="Arial" w:eastAsia="Arial" w:hAnsi="Arial"/>
          <w:color w:val="2C7BE5"/>
          <w:sz w:val="32"/>
          <w:szCs w:val="32"/>
        </w:rPr>
        <w:t xml:space="preserve">Crawl Nightlife App</w:t>
      </w:r>
    </w:p>
    <w:p>
      <w:pPr>
        <w:pBdr>
          <w:bottom w:val="single" w:color="2C7BE5" w:sz="8" w:space="1"/>
        </w:pBdr>
        <w:spacing w:after="200" w:before="60"/>
      </w:pPr>
      <w:r>
        <w:t xml:space="preserve"/>
      </w:r>
    </w:p>
    <w:p>
      <w:pPr>
        <w:spacing w:after="40" w:before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Prepared: </w:t>
      </w:r>
      <w:r>
        <w:rPr>
          <w:rFonts w:ascii="Arial" w:cs="Arial" w:eastAsia="Arial" w:hAnsi="Arial"/>
          <w:sz w:val="18"/>
          <w:szCs w:val="18"/>
        </w:rPr>
        <w:t xml:space="preserve">2026-04-19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Prepared for: </w:t>
      </w:r>
      <w:r>
        <w:rPr>
          <w:rFonts w:ascii="Arial" w:cs="Arial" w:eastAsia="Arial" w:hAnsi="Arial"/>
          <w:sz w:val="18"/>
          <w:szCs w:val="18"/>
        </w:rPr>
        <w:t xml:space="preserve">Tyler Teufel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Scope: </w:t>
      </w:r>
      <w:r>
        <w:rPr>
          <w:rFonts w:ascii="Arial" w:cs="Arial" w:eastAsia="Arial" w:hAnsi="Arial"/>
          <w:sz w:val="18"/>
          <w:szCs w:val="18"/>
        </w:rPr>
        <w:t xml:space="preserve">Launch-day infrastructure, third-party services, developer program fees, and recurring operational costs for a v1.0 soft launch (single city, &lt;5k MAU target).</w:t>
      </w:r>
    </w:p>
    <w:p>
      <w:pPr>
        <w:spacing w:after="200" w:before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Methodology: 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Costs derived from the architecture documented in BACKEND_IMPLEMENTATION_PLAN.md, DATA_PIPELINE.md, CICD_PIPELINE.md, and ROADMAP.md, plus current-published pricing for the recommended cost-optimal stack. Figures are USD and reflect list pricing as of April 2026; confirm before commitment.</w:t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1. Recommended Cost-Optimal Stack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The backend research tracker flags DB host, ORM, auth service, and hosting as undecided. The following picks minimize Day 1 outlay while preserving the architectural contracts the mobile app already depends on (TanStack Query hooks, EXPO_PUBLIC_API_URL, Zod-shared types).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360"/>
      </w:tblGrid>
      <w:tr>
        <w:trPr>
          <w:tblHeader/>
        </w:trPr>
        <w:tc>
          <w:tcPr>
            <w:tcW w:type="dxa" w:w="16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4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  <w:tc>
          <w:tcPr>
            <w:tcW w:type="dxa" w:w="536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Database + Auth + Realtime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Supabase (Free tier)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PostGIS ships enabled; bundles Auth (JWT + Apple/Google OAuth), Realtime (replaces Socket.IO), and Storage. Collapses 3 paid services into one free tier.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API server (Fastify)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Fly.io shared-cpu-1x (1 machine, auto-stop)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Cheapest container that supports persistent WS; ~$0 idle with auto-stop + $0.0000022/s when running. Alternative: Railway Hobby ($5 flat).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Redis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Defer — use Postgres for vote counts; add Upstash free tier only if leaderboard latency becomes an issue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BACKEND_IMPLEMENTATION_PLAN.md Phase 2 explicitly marks Redis "may defer."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Venue data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Google Places API ($200/mo free credit) + Yelp Fusion (500 free calls/day fallback)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$200 credit covers ~11k Place Details calls/mo — enough for single-city seed + nightly refresh.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Maps (mobile)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Mapbox (50k monthly map loads free)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Cheaper ceiling than Google Maps SDK once the $200 credit is exhausted.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Error tracking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Sentry Developer (free)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5k errors + 10k performance units / mo; one SDK covers mobile + API.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Push notifications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Expo Push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Free, no quota for reasonable volumes.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Mobile builds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EAS Build Free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30 builds/mo (Medium priority queue) — sufficient pre-launch cadence.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CI/CD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GitHub Actions (free allotment)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2,000 private-repo minutes/mo; the 5 workflows in CICD_PIPELINE.md fit comfortably.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Domain + email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Namecheap .app + Cloudflare Email Routing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TLS via Fly.io / Supabase managed certs at no cost.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2. One-Time Launch Costs (Month 0)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2400"/>
        <w:gridCol w:w="1700"/>
        <w:gridCol w:w="1100"/>
        <w:gridCol w:w="3800"/>
      </w:tblGrid>
      <w:tr>
        <w:trPr>
          <w:tblHeader/>
        </w:trPr>
        <w:tc>
          <w:tcPr>
            <w:tcW w:type="dxa" w:w="36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7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Vendor</w:t>
            </w:r>
          </w:p>
        </w:tc>
        <w:tc>
          <w:tcPr>
            <w:tcW w:type="dxa" w:w="11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 (USD)</w:t>
            </w:r>
          </w:p>
        </w:tc>
        <w:tc>
          <w:tcPr>
            <w:tcW w:type="dxa" w:w="38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Google Play Developer Account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Google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$25.00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One-time; required for Play Store submission via eas submit.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Domain registration (.app, 1 yr)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Namecheap / Cloudflare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$12.00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.com ~$11; .app enforces HSTS (recommended for mobile).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Apple Developer Program (annual — billed up front)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Apple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$99.00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Required for App Store submission and push notification certs.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Trademark search (optional, recommended)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USPTO TESS (self-serve)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$0.00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TESS is free; formal filing deferred.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Legal — Privacy Policy + ToS (template)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Termly / iubenda Starter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$0.00–$10.00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Free tier sufficient for v1; both stores require a hosted privacy URL.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10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Subtotal — One-Time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$136.00–$146.00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3. Recurring Monthly Costs — Launch Month (Month 1)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2200"/>
        <w:gridCol w:w="1500"/>
        <w:gridCol w:w="1400"/>
        <w:gridCol w:w="1100"/>
        <w:gridCol w:w="2800"/>
      </w:tblGrid>
      <w:tr>
        <w:trPr>
          <w:tblHeader/>
        </w:trPr>
        <w:tc>
          <w:tcPr>
            <w:tcW w:type="dxa" w:w="36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5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Vendor</w:t>
            </w:r>
          </w:p>
        </w:tc>
        <w:tc>
          <w:tcPr>
            <w:tcW w:type="dxa" w:w="14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11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(USD)</w:t>
            </w:r>
          </w:p>
        </w:tc>
        <w:tc>
          <w:tcPr>
            <w:tcW w:type="dxa" w:w="28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Postgres + PostGIS + Auth + Realtime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Supabase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Free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$0.00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500 MB DB, 50k MAU, 5 GB egress, 2 concurrent Realtime connections per client.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API container (Fastify)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Fly.io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shared-cpu-1x @ 256 MB, auto-stop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$0.00–$5.00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$5 free allotment covers a single always-on machine; auto-stop drops idle cost to ~$0.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Outbound bandwidth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Fly.io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160 GB free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$0.00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Well above Day-1 needs.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Venue ingestion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Google Places API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$200 credit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$0.00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Budget alert at $150 recommended.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Map tiles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Mapbox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50k loads free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$0.00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Error + performance monitoring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Sentry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Developer (free)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$0.00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5k errors / 10k perf units.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Push notifications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Expo Push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Free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$0.00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Mobile build + OTA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Free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$0.00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30 builds/mo + unlimited OTA.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CI/CD minutes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GitHub Actions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2,000 free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$0.00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 workflows; fingerprint + lint ≈ 6 min per PR.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DNS / TLS / WAF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Cloudflare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Free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$0.00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Proxy in front of Fly.io.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Transactional email (auth verify, password reset)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Free tier (3k emails/mo)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$0.00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Secrets / config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Fly.io + GitHub Encrypted Secrets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$0.00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Domain renewal amortized (annual ÷ 12)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Namecheap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$1.00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Apple Developer Program amortized (annual ÷ 12)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Apple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$8.25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510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Subtotal — Recurring (Month 1)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$9.25–$14.25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4. Consumption-Based / Variable Costs (Day 1 Bounded Estimate)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600"/>
        <w:gridCol w:w="2100"/>
        <w:gridCol w:w="1900"/>
        <w:gridCol w:w="1660"/>
      </w:tblGrid>
      <w:tr>
        <w:trPr>
          <w:tblHeader/>
        </w:trPr>
        <w:tc>
          <w:tcPr>
            <w:tcW w:type="dxa" w:w="21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16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 Ceiling</w:t>
            </w:r>
          </w:p>
        </w:tc>
        <w:tc>
          <w:tcPr>
            <w:tcW w:type="dxa" w:w="21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Day 1 Usage</w:t>
            </w:r>
          </w:p>
        </w:tc>
        <w:tc>
          <w:tcPr>
            <w:tcW w:type="dxa" w:w="19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Overage Rate</w:t>
            </w:r>
          </w:p>
        </w:tc>
        <w:tc>
          <w:tcPr>
            <w:tcW w:type="dxa" w:w="166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Overage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Supabase DB storage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500 MB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~50 MB (seed venues + test users)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$0.125/GB-mo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$0.00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Supabase Auth MAU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50,000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&lt;500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$0.00325/MAU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$0.00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Supabase Realtime msgs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2M/mo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&lt;100k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$2.50/M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$0.00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Fly.io compute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$5 credit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~$3 worth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$0.0000022/s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$0.00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Google Places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$200 credit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~$30 (≈3k Place Details calls)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$17/1k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$0.00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Mapbox loads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50,000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&lt;10,000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$0.50/1k over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$0.00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Sentry errors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5,000/mo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&lt;500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$0.00029/error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$0.00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GitHub Actions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2,000 min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~400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$0.008/min (Linux)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$0.00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100"/>
      </w:pPr>
      <w:r>
        <w:rPr>
          <w:rFonts w:ascii="Arial" w:cs="Arial" w:eastAsia="Arial" w:hAnsi="Arial"/>
          <w:sz w:val="18"/>
          <w:szCs w:val="18"/>
        </w:rPr>
        <w:t xml:space="preserve">Projected overage at launch: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$0.00.</w:t>
      </w:r>
      <w:r>
        <w:rPr>
          <w:rFonts w:ascii="Arial" w:cs="Arial" w:eastAsia="Arial" w:hAnsi="Arial"/>
          <w:sz w:val="18"/>
          <w:szCs w:val="18"/>
        </w:rPr>
        <w:t xml:space="preserve"> First meaningful cost pressure arrives when MAU crosses ~5k (Supabase Pro at $25/mo becomes necessary) or Places calls cross ~11k/mo.</w:t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5. App Store / Platform Fees (Revenue-Side, Non-Launch)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Listed for completeness; no Day 1 cash outlay as the app ships free with no IAP at v1.0.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rPr>
          <w:tblHeader/>
        </w:trPr>
        <w:tc>
          <w:tcPr>
            <w:tcW w:type="dxa" w:w="20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32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Fee</w:t>
            </w:r>
          </w:p>
        </w:tc>
        <w:tc>
          <w:tcPr>
            <w:tcW w:type="dxa" w:w="416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Applies 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Apple App Store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30% (15% under Small Business Program, &lt;$1M ARR)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Future paid features / subscriptions.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Google Play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30% (15% on first $1M annually; 15% on subs)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Future paid features / subscriptions.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Stripe (if web billing added)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2.9% + $0.30 / transaction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applicable Day 1.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6. Day 1 Total Cost Summary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rPr>
          <w:tblHeader/>
        </w:trPr>
        <w:tc>
          <w:tcPr>
            <w:tcW w:type="dxa" w:w="70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36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Amount (USD)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One-time launch fees (Section 2)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$136.00–$146.00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Month 1 recurring (Section 3)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$9.25–$14.25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Variable / consumption overages (Section 4)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$0.00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 — Launch Month cash outlay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~$145.25–$160.25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 — Month 2+ ongoing run-rate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~$9.25–$14.25 / mo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Annualized Year-1 run-rate</w:t>
      </w:r>
      <w:r>
        <w:rPr>
          <w:rFonts w:ascii="Arial" w:cs="Arial" w:eastAsia="Arial" w:hAnsi="Arial"/>
          <w:sz w:val="18"/>
          <w:szCs w:val="18"/>
        </w:rPr>
        <w:t xml:space="preserve"> (12 mo recurring + one-time):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≈ $250–$320.</w:t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7. Key Risks &amp; Sensitivity Drivers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Places API burn. If venue refresh cron runs hourly instead of nightly, $200 credit can exhaust mid-month. Mitigation: nightly refresh + diff-only upserts; set a $100 billing alert.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Supabase 500 MB ceiling. Vote history grows unbounded. Mitigation: enforce the DATE UNIQUE constraint already in schema + TTL-prune votes older than 90 days (planned in BACKEND_IMPLEMENTATION_PLAN.md Phase 2 "scheduled jobs").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WebSocket scaling. Fly.io single-machine WS ceiling ~5k concurrent. v2.0 realtime (ROADMAP.md) will force horizontal scaling (+$5–15/mo per extra machine) or Supabase Realtime entirely.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EAS free-tier queue times can exceed 30 min at peak — upgrade to Production ($19/mo) only if release cadence demands it.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Decision reversibility. Choosing Supabase couples Auth + DB + Realtime. Swapping out any one component later is a multi-day refactor (DESIGN_DECISIONS.md should capture this trade-off when the decision is formalized).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8. Recommended Budget Posture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Provision a $200 Year-1 infra budget plus the $124 in developer-program fees → $324 envelope.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Set billing alerts at 50% / 80% / 100% on Google Cloud (Places), Fly.io, and Supabase.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Revisit at 2,500 MAU. Expected tier jump: Supabase Pro ($25) + Fly.io second machine ($5) → new run-rate ~$40/mo.</w:t>
      </w:r>
    </w:p>
    <w:p>
      <w:pPr>
        <w:spacing w:after="60" w:before="60"/>
      </w:pPr>
      <w:r>
        <w:t xml:space="preserve"/>
      </w:r>
    </w:p>
    <w:p>
      <w:pPr>
        <w:pBdr>
          <w:top w:val="single" w:color="CCCCCC" w:sz="4" w:space="1"/>
        </w:pBdr>
        <w:spacing w:after="60" w:before="200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Figures reflect published pricing at the time of writing and should be re-validated before vendor commitment. The recommended stack resolves 4 of the 17 still-open rows in the backend research tracker — documenting these picks in DESIGN_DECISIONS.md is the suggested next step per the root CLAUDE.md doc-maintenance mandate.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C3E50" w:sz="6" w:space="1"/>
      </w:pBdr>
      <w:tabs>
        <w:tab w:val="right" w:pos="8640"/>
      </w:tabs>
    </w:pPr>
    <w:r>
      <w:rPr>
        <w:rFonts w:ascii="Arial" w:cs="Arial" w:eastAsia="Arial" w:hAnsi="Arial"/>
        <w:color w:val="888888"/>
        <w:sz w:val="16"/>
        <w:szCs w:val="16"/>
      </w:rPr>
      <w:t xml:space="preserve">Prepared for Tyler Teufel | Crawl App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C3E50" w:sz="6" w:space="1"/>
      </w:pBdr>
      <w:tabs>
        <w:tab w:val="right" w:pos="8640"/>
      </w:tabs>
    </w:pPr>
    <w:r>
      <w:rPr>
        <w:rFonts w:ascii="Arial" w:cs="Arial" w:eastAsia="Arial" w:hAnsi="Arial"/>
        <w:b/>
        <w:bCs/>
        <w:color w:val="2C3E50"/>
        <w:sz w:val="18"/>
        <w:szCs w:val="18"/>
      </w:rPr>
      <w:t xml:space="preserve">Day 1 Cost Estimation — Crawl Nightlife App</w:t>
    </w:r>
    <w:r>
      <w:rPr>
        <w:rFonts w:ascii="Arial" w:cs="Arial" w:eastAsia="Arial" w:hAnsi="Arial"/>
        <w:color w:val="888888"/>
        <w:sz w:val="16"/>
        <w:szCs w:val="16"/>
      </w:rPr>
      <w:t xml:space="preserve">	Confidential | April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18"/>
        <w:szCs w:val="18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sz w:val="18"/>
        <w:szCs w:val="1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2C3E5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2026-04-20T13:54:27.900Z</dcterms:created>
  <dcterms:modified xsi:type="dcterms:W3CDTF">2026-04-20T13:54:27.900Z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