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64CB716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</w:t>
      </w:r>
      <w:r w:rsidR="0033223A">
        <w:rPr>
          <w:b/>
          <w:i/>
        </w:rPr>
        <w:t xml:space="preserve"> </w:t>
      </w:r>
      <w:r w:rsidR="00597196">
        <w:rPr>
          <w:b/>
          <w:i/>
        </w:rPr>
        <w:t>22</w:t>
      </w:r>
      <w:r w:rsidR="00597196" w:rsidRPr="00597196">
        <w:rPr>
          <w:b/>
          <w:i/>
          <w:vertAlign w:val="superscript"/>
        </w:rPr>
        <w:t>nd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49AD1D4A" w14:textId="540F3081" w:rsidR="00E75156" w:rsidRDefault="0059719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Print and submit/resubmit all missing DocPacs or DocPacs with missing documents</w:t>
      </w:r>
    </w:p>
    <w:p w14:paraId="65C4B4F4" w14:textId="1F2697E1" w:rsidR="00597196" w:rsidRPr="0097638C" w:rsidRDefault="0059719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Break JS Bootcamp Game down into a flow chart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51F9A23F" w14:textId="7F1C9C5D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</w:t>
      </w:r>
      <w:r w:rsidR="00597196">
        <w:t xml:space="preserve">Flow Chart </w:t>
      </w:r>
      <w:r>
        <w:t>(Dec</w:t>
      </w:r>
      <w:r w:rsidR="00597196">
        <w:t>2</w:t>
      </w:r>
      <w:r>
        <w:t>1)</w:t>
      </w:r>
    </w:p>
    <w:p w14:paraId="07A78823" w14:textId="4B11F577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27CF23C" wp14:editId="4E65BD97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>Winter Break Schedule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AE063A7" w14:textId="67D2A8E9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D5BFB40" wp14:editId="1CC28A36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Flow Chart (Dec21)</w:t>
      </w:r>
    </w:p>
    <w:p w14:paraId="17A6D16E" w14:textId="49BFDEEF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76DF304" wp14:editId="5010C77B">
            <wp:extent cx="131642" cy="131642"/>
            <wp:effectExtent l="0" t="0" r="0" b="0"/>
            <wp:docPr id="5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Winter Break Schedule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33E51AA0" w:rsidR="00B06597" w:rsidRDefault="00597196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4A483B7D" w:rsidR="00B42F25" w:rsidRDefault="001E7C5C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97196">
        <w:t>20</w:t>
      </w:r>
      <w:r w:rsidR="00B42F25" w:rsidRPr="00B42F25">
        <w:rPr>
          <w:vertAlign w:val="superscript"/>
        </w:rPr>
        <w:t>th</w:t>
      </w:r>
      <w:r w:rsidR="00B42F25">
        <w:t>: Weekly Review</w:t>
      </w:r>
    </w:p>
    <w:p w14:paraId="789A761E" w14:textId="1B6D9369" w:rsidR="00597196" w:rsidRDefault="00597196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20</w:t>
      </w:r>
      <w:r w:rsidRPr="00B42F25">
        <w:rPr>
          <w:vertAlign w:val="superscript"/>
        </w:rPr>
        <w:t>th</w:t>
      </w:r>
      <w:r>
        <w:t xml:space="preserve">: </w:t>
      </w:r>
      <w:proofErr w:type="spellStart"/>
      <w:r>
        <w:t>Github</w:t>
      </w:r>
      <w:proofErr w:type="spellEnd"/>
      <w:r>
        <w:t xml:space="preserve"> Review</w:t>
      </w:r>
    </w:p>
    <w:p w14:paraId="289FF878" w14:textId="57A38C19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97196">
        <w:t>21</w:t>
      </w:r>
      <w:r w:rsidR="00597196" w:rsidRPr="00597196">
        <w:rPr>
          <w:vertAlign w:val="superscript"/>
        </w:rPr>
        <w:t>st</w:t>
      </w:r>
      <w:r>
        <w:t xml:space="preserve">: </w:t>
      </w:r>
      <w:r w:rsidR="00597196">
        <w:t>[Lesson] Flow Charts</w:t>
      </w:r>
    </w:p>
    <w:p w14:paraId="56CF6A52" w14:textId="30C2740B" w:rsidR="0097638C" w:rsidRDefault="00B42F25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97196">
        <w:t>22</w:t>
      </w:r>
      <w:r w:rsidR="00597196" w:rsidRPr="00597196">
        <w:rPr>
          <w:vertAlign w:val="superscript"/>
        </w:rPr>
        <w:t>nd</w:t>
      </w:r>
      <w:r>
        <w:t xml:space="preserve">: </w:t>
      </w:r>
      <w:r w:rsidR="00597196">
        <w:t xml:space="preserve">Final </w:t>
      </w:r>
      <w:proofErr w:type="spellStart"/>
      <w:r w:rsidR="00597196">
        <w:t>DocPac</w:t>
      </w:r>
      <w:proofErr w:type="spellEnd"/>
      <w:r w:rsidR="00597196">
        <w:t xml:space="preserve">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7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1710"/>
        <w:gridCol w:w="720"/>
        <w:gridCol w:w="87"/>
        <w:gridCol w:w="723"/>
        <w:gridCol w:w="1515"/>
      </w:tblGrid>
      <w:tr w:rsidR="0082026F" w14:paraId="79A5C543" w14:textId="77777777" w:rsidTr="00E0388B">
        <w:tc>
          <w:tcPr>
            <w:tcW w:w="495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2517" w:type="dxa"/>
            <w:gridSpan w:val="3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0388B">
        <w:tc>
          <w:tcPr>
            <w:tcW w:w="495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2517" w:type="dxa"/>
            <w:gridSpan w:val="3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0388B">
        <w:tc>
          <w:tcPr>
            <w:tcW w:w="495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4755" w:type="dxa"/>
            <w:gridSpan w:val="5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0388B">
        <w:trPr>
          <w:trHeight w:val="143"/>
        </w:trPr>
        <w:tc>
          <w:tcPr>
            <w:tcW w:w="495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4755" w:type="dxa"/>
            <w:gridSpan w:val="5"/>
            <w:vAlign w:val="center"/>
          </w:tcPr>
          <w:p w14:paraId="56FC30CA" w14:textId="2FD22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43728BA" w14:textId="77777777" w:rsidTr="00E0388B">
        <w:tc>
          <w:tcPr>
            <w:tcW w:w="4950" w:type="dxa"/>
            <w:tcBorders>
              <w:left w:val="nil"/>
            </w:tcBorders>
          </w:tcPr>
          <w:p w14:paraId="59B33AF0" w14:textId="77777777" w:rsidR="00E0388B" w:rsidRDefault="00E0388B" w:rsidP="00E0388B">
            <w:pPr>
              <w:jc w:val="center"/>
            </w:pPr>
          </w:p>
        </w:tc>
        <w:tc>
          <w:tcPr>
            <w:tcW w:w="1710" w:type="dxa"/>
            <w:shd w:val="clear" w:color="auto" w:fill="BFBFBF"/>
          </w:tcPr>
          <w:p w14:paraId="07538B50" w14:textId="5E8EBA2D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530" w:type="dxa"/>
            <w:gridSpan w:val="3"/>
            <w:shd w:val="clear" w:color="auto" w:fill="BFBFBF"/>
          </w:tcPr>
          <w:p w14:paraId="2B143CA7" w14:textId="3F3C424B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Sched. Book</w:t>
            </w:r>
          </w:p>
        </w:tc>
        <w:tc>
          <w:tcPr>
            <w:tcW w:w="1515" w:type="dxa"/>
            <w:shd w:val="clear" w:color="auto" w:fill="BFBFBF"/>
          </w:tcPr>
          <w:p w14:paraId="05C80F97" w14:textId="77777777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</w:t>
            </w:r>
          </w:p>
          <w:p w14:paraId="4BE8FCCD" w14:textId="670ACD40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</w:tr>
      <w:tr w:rsidR="00E0388B" w14:paraId="414EDF59" w14:textId="77777777" w:rsidTr="00E0388B">
        <w:trPr>
          <w:trHeight w:val="143"/>
        </w:trPr>
        <w:tc>
          <w:tcPr>
            <w:tcW w:w="4950" w:type="dxa"/>
          </w:tcPr>
          <w:p w14:paraId="132242C3" w14:textId="55EE4A73" w:rsidR="00E0388B" w:rsidRDefault="00E0388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1AAFBBD" wp14:editId="078852F6">
                  <wp:extent cx="131642" cy="131642"/>
                  <wp:effectExtent l="0" t="0" r="0" b="0"/>
                  <wp:docPr id="19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Winter Break Schedule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843910" w14:textId="6438A7FE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530" w:type="dxa"/>
            <w:gridSpan w:val="3"/>
            <w:shd w:val="clear" w:color="auto" w:fill="auto"/>
            <w:vAlign w:val="center"/>
          </w:tcPr>
          <w:p w14:paraId="158DEDD6" w14:textId="6C91A572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467E87E" w14:textId="2A84EF04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6AB78ECB" w14:textId="77777777" w:rsidTr="00E0388B">
        <w:tc>
          <w:tcPr>
            <w:tcW w:w="4950" w:type="dxa"/>
            <w:tcBorders>
              <w:left w:val="nil"/>
            </w:tcBorders>
          </w:tcPr>
          <w:p w14:paraId="124ABD63" w14:textId="77777777" w:rsidR="00E0388B" w:rsidRDefault="00E0388B" w:rsidP="00E0388B">
            <w:pPr>
              <w:jc w:val="center"/>
            </w:pPr>
          </w:p>
        </w:tc>
        <w:tc>
          <w:tcPr>
            <w:tcW w:w="4755" w:type="dxa"/>
            <w:gridSpan w:val="5"/>
            <w:shd w:val="clear" w:color="auto" w:fill="BFBFBF"/>
          </w:tcPr>
          <w:p w14:paraId="16D4546D" w14:textId="0DE71BC3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E0388B" w14:paraId="264479B3" w14:textId="77777777" w:rsidTr="00E0388B">
        <w:trPr>
          <w:trHeight w:val="143"/>
        </w:trPr>
        <w:tc>
          <w:tcPr>
            <w:tcW w:w="4950" w:type="dxa"/>
          </w:tcPr>
          <w:p w14:paraId="1EEE009A" w14:textId="0A4481FD" w:rsidR="00E0388B" w:rsidRDefault="00E0388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49AB3BE" wp14:editId="5DEE3B37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JS Bootcamp Flow Chart (Dec21)</w:t>
            </w:r>
          </w:p>
        </w:tc>
        <w:tc>
          <w:tcPr>
            <w:tcW w:w="4755" w:type="dxa"/>
            <w:gridSpan w:val="5"/>
            <w:shd w:val="clear" w:color="auto" w:fill="auto"/>
            <w:vAlign w:val="center"/>
          </w:tcPr>
          <w:p w14:paraId="487E09A2" w14:textId="62D88DDE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A891AB6" w14:textId="77777777" w:rsidTr="00E0388B">
        <w:tc>
          <w:tcPr>
            <w:tcW w:w="4950" w:type="dxa"/>
            <w:tcBorders>
              <w:left w:val="nil"/>
            </w:tcBorders>
          </w:tcPr>
          <w:p w14:paraId="71AA5386" w14:textId="77777777" w:rsidR="00E0388B" w:rsidRDefault="00E0388B" w:rsidP="00E0388B">
            <w:pPr>
              <w:jc w:val="center"/>
            </w:pPr>
          </w:p>
        </w:tc>
        <w:tc>
          <w:tcPr>
            <w:tcW w:w="2430" w:type="dxa"/>
            <w:gridSpan w:val="2"/>
            <w:shd w:val="clear" w:color="auto" w:fill="BFBFBF"/>
          </w:tcPr>
          <w:p w14:paraId="665492DF" w14:textId="65ED7F12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2325" w:type="dxa"/>
            <w:gridSpan w:val="3"/>
            <w:shd w:val="clear" w:color="auto" w:fill="BFBFBF"/>
          </w:tcPr>
          <w:p w14:paraId="2E533E48" w14:textId="7BC640D3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 (Bonus)</w:t>
            </w:r>
          </w:p>
        </w:tc>
      </w:tr>
      <w:tr w:rsidR="00E0388B" w14:paraId="64075C37" w14:textId="77777777" w:rsidTr="00E0388B">
        <w:trPr>
          <w:trHeight w:val="143"/>
        </w:trPr>
        <w:tc>
          <w:tcPr>
            <w:tcW w:w="4950" w:type="dxa"/>
          </w:tcPr>
          <w:p w14:paraId="08D287B2" w14:textId="3A79A913" w:rsidR="00E0388B" w:rsidRDefault="00E0388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1535">
              <w:pict w14:anchorId="347D6C48">
                <v:shape id="_x0000_i1168" type="#_x0000_t75" alt="Pencil Svg Png Icon Free Download (#376363 ..." style="width:12.9pt;height:14.25pt;visibility:visible;mso-wrap-style:square">
                  <v:imagedata r:id="rId11" o:title="Pencil Svg Png Icon Free Download (#376363 .."/>
                </v:shape>
              </w:pict>
            </w:r>
            <w:r>
              <w:t xml:space="preserve"> Team Project Goal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14EFE004" w14:textId="57D2C9C7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325" w:type="dxa"/>
            <w:gridSpan w:val="3"/>
            <w:shd w:val="clear" w:color="auto" w:fill="auto"/>
            <w:vAlign w:val="center"/>
          </w:tcPr>
          <w:p w14:paraId="0FAC6766" w14:textId="7FB1D7E2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bookmarkStart w:id="0" w:name="_GoBack"/>
            <w:bookmarkEnd w:id="0"/>
          </w:p>
        </w:tc>
      </w:tr>
      <w:tr w:rsidR="00E0388B" w14:paraId="197413E6" w14:textId="77777777" w:rsidTr="00E0388B">
        <w:tc>
          <w:tcPr>
            <w:tcW w:w="4950" w:type="dxa"/>
            <w:tcBorders>
              <w:left w:val="nil"/>
            </w:tcBorders>
          </w:tcPr>
          <w:p w14:paraId="11E002AC" w14:textId="77777777" w:rsidR="00E0388B" w:rsidRDefault="00E0388B" w:rsidP="00E0388B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4755" w:type="dxa"/>
            <w:gridSpan w:val="5"/>
            <w:shd w:val="clear" w:color="auto" w:fill="BFBFBF"/>
          </w:tcPr>
          <w:p w14:paraId="59D347BD" w14:textId="0602A15B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E0388B" w14:paraId="4F47CDF3" w14:textId="77777777" w:rsidTr="00E0388B">
        <w:tc>
          <w:tcPr>
            <w:tcW w:w="4950" w:type="dxa"/>
          </w:tcPr>
          <w:p w14:paraId="152C2A29" w14:textId="05D97DF3" w:rsidR="00E0388B" w:rsidRDefault="00E0388B" w:rsidP="00E0388B">
            <w:r>
              <w:t>All Q2 DocPacs Submitted</w:t>
            </w:r>
          </w:p>
        </w:tc>
        <w:tc>
          <w:tcPr>
            <w:tcW w:w="4755" w:type="dxa"/>
            <w:gridSpan w:val="5"/>
          </w:tcPr>
          <w:p w14:paraId="5A5A24EF" w14:textId="77777777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62FA3A6" w14:textId="77777777" w:rsidTr="00D828D9">
        <w:tc>
          <w:tcPr>
            <w:tcW w:w="4950" w:type="dxa"/>
            <w:tcBorders>
              <w:left w:val="nil"/>
            </w:tcBorders>
          </w:tcPr>
          <w:p w14:paraId="3BD2FAD1" w14:textId="77777777" w:rsidR="00E0388B" w:rsidRDefault="00E0388B" w:rsidP="00D828D9">
            <w:pPr>
              <w:jc w:val="center"/>
            </w:pPr>
          </w:p>
        </w:tc>
        <w:tc>
          <w:tcPr>
            <w:tcW w:w="4755" w:type="dxa"/>
            <w:gridSpan w:val="5"/>
            <w:shd w:val="clear" w:color="auto" w:fill="BFBFBF"/>
          </w:tcPr>
          <w:p w14:paraId="27ECE591" w14:textId="77777777" w:rsidR="00E0388B" w:rsidRDefault="00E0388B" w:rsidP="00D82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E0388B" w14:paraId="30799B87" w14:textId="77777777" w:rsidTr="00D828D9">
        <w:tc>
          <w:tcPr>
            <w:tcW w:w="4950" w:type="dxa"/>
          </w:tcPr>
          <w:p w14:paraId="2CA5E515" w14:textId="77777777" w:rsidR="00E0388B" w:rsidRDefault="00E0388B" w:rsidP="00D828D9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4755" w:type="dxa"/>
            <w:gridSpan w:val="5"/>
          </w:tcPr>
          <w:p w14:paraId="73521EEF" w14:textId="77777777" w:rsidR="00E0388B" w:rsidRDefault="00E0388B" w:rsidP="00D828D9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376B" w14:textId="77777777" w:rsidR="00D8406F" w:rsidRDefault="00D8406F">
      <w:pPr>
        <w:spacing w:after="0" w:line="240" w:lineRule="auto"/>
      </w:pPr>
      <w:r>
        <w:separator/>
      </w:r>
    </w:p>
  </w:endnote>
  <w:endnote w:type="continuationSeparator" w:id="0">
    <w:p w14:paraId="56CC3A73" w14:textId="77777777" w:rsidR="00D8406F" w:rsidRDefault="00D8406F">
      <w:pPr>
        <w:spacing w:after="0" w:line="240" w:lineRule="auto"/>
      </w:pPr>
      <w:r>
        <w:continuationSeparator/>
      </w:r>
    </w:p>
  </w:endnote>
  <w:endnote w:type="continuationNotice" w:id="1">
    <w:p w14:paraId="23861A18" w14:textId="77777777" w:rsidR="00D8406F" w:rsidRDefault="00D840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2EE6" w14:textId="77777777" w:rsidR="00D8406F" w:rsidRDefault="00D8406F">
      <w:pPr>
        <w:spacing w:after="0" w:line="240" w:lineRule="auto"/>
      </w:pPr>
      <w:r>
        <w:separator/>
      </w:r>
    </w:p>
  </w:footnote>
  <w:footnote w:type="continuationSeparator" w:id="0">
    <w:p w14:paraId="09874754" w14:textId="77777777" w:rsidR="00D8406F" w:rsidRDefault="00D8406F">
      <w:pPr>
        <w:spacing w:after="0" w:line="240" w:lineRule="auto"/>
      </w:pPr>
      <w:r>
        <w:continuationSeparator/>
      </w:r>
    </w:p>
  </w:footnote>
  <w:footnote w:type="continuationNotice" w:id="1">
    <w:p w14:paraId="08E579EC" w14:textId="77777777" w:rsidR="00D8406F" w:rsidRDefault="00D840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2.85pt;height:734.9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.25pt;height:1200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45pt;height:168.4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934C8"/>
    <w:rsid w:val="001A1390"/>
    <w:rsid w:val="001A41AC"/>
    <w:rsid w:val="001C2CC4"/>
    <w:rsid w:val="001C4973"/>
    <w:rsid w:val="001E056C"/>
    <w:rsid w:val="001E7C5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4F6CC4"/>
    <w:rsid w:val="005016E5"/>
    <w:rsid w:val="00501F9E"/>
    <w:rsid w:val="0054550E"/>
    <w:rsid w:val="00552FD8"/>
    <w:rsid w:val="00580037"/>
    <w:rsid w:val="00591837"/>
    <w:rsid w:val="00597196"/>
    <w:rsid w:val="005B1AB9"/>
    <w:rsid w:val="005C268D"/>
    <w:rsid w:val="005E36BE"/>
    <w:rsid w:val="005F2B22"/>
    <w:rsid w:val="006374E7"/>
    <w:rsid w:val="00641C09"/>
    <w:rsid w:val="00650BD4"/>
    <w:rsid w:val="00670FCD"/>
    <w:rsid w:val="00676AFE"/>
    <w:rsid w:val="006A4112"/>
    <w:rsid w:val="006C2E14"/>
    <w:rsid w:val="006E4DC6"/>
    <w:rsid w:val="006E7DC5"/>
    <w:rsid w:val="0070367D"/>
    <w:rsid w:val="00704B2E"/>
    <w:rsid w:val="007222ED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84F86"/>
    <w:rsid w:val="00CB0DC4"/>
    <w:rsid w:val="00CB137C"/>
    <w:rsid w:val="00CB7B3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8406F"/>
    <w:rsid w:val="00DB04E5"/>
    <w:rsid w:val="00DB4931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47BD"/>
    <w:rsid w:val="00F63779"/>
    <w:rsid w:val="00F660BC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cc9255bc-4d99-4f42-bba5-857cbcc6e725"/>
    <ds:schemaRef ds:uri="fc2bff61-6a31-4c51-9f32-b9bba46405e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31</cp:revision>
  <dcterms:created xsi:type="dcterms:W3CDTF">2021-11-30T18:02:00Z</dcterms:created>
  <dcterms:modified xsi:type="dcterms:W3CDTF">2021-12-20T16:38:00Z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