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8BA18" w14:textId="77777777" w:rsidR="008D357C" w:rsidRDefault="00FE6D9B">
      <w:r>
        <w:t>Files on Summit Cluster</w:t>
      </w:r>
    </w:p>
    <w:p w14:paraId="3997EE14" w14:textId="77777777" w:rsidR="00FE6D9B" w:rsidRDefault="00FE6D9B">
      <w:r>
        <w:rPr>
          <w:noProof/>
        </w:rPr>
        <w:drawing>
          <wp:inline distT="0" distB="0" distL="0" distR="0" wp14:anchorId="34F20935" wp14:editId="4457FF02">
            <wp:extent cx="5943600" cy="4646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5A6C" w14:textId="77777777" w:rsidR="00FE6D9B" w:rsidRDefault="00FE6D9B"/>
    <w:p w14:paraId="40BA9CF4" w14:textId="77777777" w:rsidR="00FE6D9B" w:rsidRDefault="00FE6D9B">
      <w:r>
        <w:rPr>
          <w:noProof/>
        </w:rPr>
        <w:drawing>
          <wp:inline distT="0" distB="0" distL="0" distR="0" wp14:anchorId="7EDED7E0" wp14:editId="460C98A5">
            <wp:extent cx="5838508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1427" cy="286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0D90" w14:textId="77777777" w:rsidR="00FE6D9B" w:rsidRDefault="00FE6D9B"/>
    <w:p w14:paraId="4C292DBF" w14:textId="77777777" w:rsidR="00AE64F5" w:rsidRDefault="00AE64F5">
      <w:r>
        <w:rPr>
          <w:noProof/>
        </w:rPr>
        <w:drawing>
          <wp:inline distT="0" distB="0" distL="0" distR="0" wp14:anchorId="6C48DDE9" wp14:editId="42762A08">
            <wp:extent cx="5943600" cy="4624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C975" w14:textId="77777777" w:rsidR="00AE64F5" w:rsidRDefault="00AE64F5">
      <w:r>
        <w:t>Definitions of files and file types:</w:t>
      </w:r>
    </w:p>
    <w:p w14:paraId="734EA23B" w14:textId="026A2B1B" w:rsidR="00AA6C0D" w:rsidRDefault="00354EB6">
      <w:pPr>
        <w:rPr>
          <w:color w:val="44546A" w:themeColor="text2"/>
        </w:rPr>
      </w:pPr>
      <w:r w:rsidRPr="00354EB6">
        <w:rPr>
          <w:color w:val="44546A" w:themeColor="text2"/>
        </w:rPr>
        <w:t xml:space="preserve">The relevant </w:t>
      </w:r>
      <w:r>
        <w:rPr>
          <w:color w:val="44546A" w:themeColor="text2"/>
        </w:rPr>
        <w:t>file</w:t>
      </w:r>
      <w:r w:rsidR="00B62693">
        <w:rPr>
          <w:color w:val="44546A" w:themeColor="text2"/>
        </w:rPr>
        <w:t>s</w:t>
      </w:r>
      <w:r>
        <w:rPr>
          <w:color w:val="44546A" w:themeColor="text2"/>
        </w:rPr>
        <w:t xml:space="preserve"> </w:t>
      </w:r>
      <w:r w:rsidR="00AA6C0D">
        <w:rPr>
          <w:color w:val="44546A" w:themeColor="text2"/>
        </w:rPr>
        <w:t xml:space="preserve">follow the naming convention: </w:t>
      </w:r>
    </w:p>
    <w:p w14:paraId="65597BDF" w14:textId="3C3EC7CE" w:rsidR="00AE64F5" w:rsidRDefault="00AA6C0D" w:rsidP="00AA6C0D">
      <w:pPr>
        <w:ind w:firstLine="720"/>
        <w:rPr>
          <w:color w:val="44546A" w:themeColor="text2"/>
        </w:rPr>
      </w:pPr>
      <w:r>
        <w:rPr>
          <w:color w:val="44546A" w:themeColor="text2"/>
        </w:rPr>
        <w:t>{DATE}_{M[N</w:t>
      </w:r>
      <w:proofErr w:type="gramStart"/>
      <w:r>
        <w:rPr>
          <w:color w:val="44546A" w:themeColor="text2"/>
        </w:rPr>
        <w:t>]}_</w:t>
      </w:r>
      <w:proofErr w:type="gramEnd"/>
      <w:r>
        <w:rPr>
          <w:color w:val="44546A" w:themeColor="text2"/>
        </w:rPr>
        <w:t>{TREATMENT}_{READ}.fq.gz</w:t>
      </w:r>
    </w:p>
    <w:p w14:paraId="4F840A31" w14:textId="55E018BA" w:rsidR="00AA6C0D" w:rsidRDefault="00AA6C0D" w:rsidP="00AA6C0D">
      <w:pPr>
        <w:rPr>
          <w:color w:val="44546A" w:themeColor="text2"/>
        </w:rPr>
      </w:pPr>
      <w:r>
        <w:rPr>
          <w:color w:val="44546A" w:themeColor="text2"/>
        </w:rPr>
        <w:t>Where,</w:t>
      </w:r>
    </w:p>
    <w:p w14:paraId="1121838C" w14:textId="24878BC5" w:rsidR="00AA6C0D" w:rsidRDefault="00AA6C0D" w:rsidP="00AA6C0D">
      <w:pPr>
        <w:rPr>
          <w:color w:val="44546A" w:themeColor="text2"/>
        </w:rPr>
      </w:pPr>
      <w:r>
        <w:rPr>
          <w:b/>
          <w:bCs/>
          <w:color w:val="44546A" w:themeColor="text2"/>
        </w:rPr>
        <w:t>DATE</w:t>
      </w:r>
      <w:r>
        <w:rPr>
          <w:color w:val="44546A" w:themeColor="text2"/>
        </w:rPr>
        <w:t xml:space="preserve"> denotes the experiment design. “051915” was the experiment where macrophages were exposed to 10(</w:t>
      </w:r>
      <w:r>
        <w:rPr>
          <w:i/>
          <w:iCs/>
          <w:color w:val="44546A" w:themeColor="text2"/>
        </w:rPr>
        <w:t>Z</w:t>
      </w:r>
      <w:r>
        <w:rPr>
          <w:color w:val="44546A" w:themeColor="text2"/>
        </w:rPr>
        <w:t>)-hexadecenoic acid for 6h prior to LPS stimulation. “080515” was the experiment where the macrophages were exposed to 10(</w:t>
      </w:r>
      <w:r>
        <w:rPr>
          <w:i/>
          <w:iCs/>
          <w:color w:val="44546A" w:themeColor="text2"/>
        </w:rPr>
        <w:t>Z</w:t>
      </w:r>
      <w:r>
        <w:rPr>
          <w:color w:val="44546A" w:themeColor="text2"/>
        </w:rPr>
        <w:t>)-hexadecenoic acid for 1h—this was the experiment data we published.</w:t>
      </w:r>
    </w:p>
    <w:p w14:paraId="7F09C5D3" w14:textId="48E8C346" w:rsidR="00AA6C0D" w:rsidRDefault="00AA6C0D" w:rsidP="00AA6C0D">
      <w:pPr>
        <w:rPr>
          <w:color w:val="44546A" w:themeColor="text2"/>
        </w:rPr>
      </w:pPr>
      <w:r>
        <w:rPr>
          <w:b/>
          <w:bCs/>
          <w:color w:val="44546A" w:themeColor="text2"/>
        </w:rPr>
        <w:t>M[N]</w:t>
      </w:r>
      <w:r>
        <w:rPr>
          <w:color w:val="44546A" w:themeColor="text2"/>
        </w:rPr>
        <w:t xml:space="preserve"> denotes the treatment replicate.</w:t>
      </w:r>
    </w:p>
    <w:p w14:paraId="24982CC6" w14:textId="1DF6A239" w:rsidR="00AA6C0D" w:rsidRDefault="00AA6C0D" w:rsidP="00AA6C0D">
      <w:pPr>
        <w:rPr>
          <w:color w:val="44546A" w:themeColor="text2"/>
        </w:rPr>
      </w:pPr>
      <w:r>
        <w:rPr>
          <w:b/>
          <w:bCs/>
          <w:color w:val="44546A" w:themeColor="text2"/>
        </w:rPr>
        <w:t>TREATMENT</w:t>
      </w:r>
      <w:r>
        <w:rPr>
          <w:color w:val="44546A" w:themeColor="text2"/>
        </w:rPr>
        <w:t xml:space="preserve"> denotes whether the macrophage replicate was pre-exposed to 10(</w:t>
      </w:r>
      <w:r>
        <w:rPr>
          <w:i/>
          <w:iCs/>
          <w:color w:val="44546A" w:themeColor="text2"/>
        </w:rPr>
        <w:t>Z</w:t>
      </w:r>
      <w:r>
        <w:rPr>
          <w:color w:val="44546A" w:themeColor="text2"/>
        </w:rPr>
        <w:t>)-hexadecenoic acid (“16H”) or the growth media (“DMEM”).</w:t>
      </w:r>
    </w:p>
    <w:p w14:paraId="19BA13D7" w14:textId="3A8AFC94" w:rsidR="00AA6C0D" w:rsidRDefault="00AA6C0D" w:rsidP="00AA6C0D">
      <w:pPr>
        <w:rPr>
          <w:color w:val="44546A" w:themeColor="text2"/>
        </w:rPr>
      </w:pPr>
      <w:r>
        <w:rPr>
          <w:b/>
          <w:bCs/>
          <w:color w:val="44546A" w:themeColor="text2"/>
        </w:rPr>
        <w:t>READ</w:t>
      </w:r>
      <w:r>
        <w:rPr>
          <w:color w:val="44546A" w:themeColor="text2"/>
        </w:rPr>
        <w:t xml:space="preserve"> denotes which </w:t>
      </w:r>
      <w:r w:rsidR="00B62693">
        <w:rPr>
          <w:color w:val="44546A" w:themeColor="text2"/>
        </w:rPr>
        <w:t>end of the fragment</w:t>
      </w:r>
      <w:r>
        <w:rPr>
          <w:color w:val="44546A" w:themeColor="text2"/>
        </w:rPr>
        <w:t xml:space="preserve"> the read pair was generated. “</w:t>
      </w:r>
      <w:proofErr w:type="spellStart"/>
      <w:r>
        <w:rPr>
          <w:color w:val="44546A" w:themeColor="text2"/>
        </w:rPr>
        <w:t>fp</w:t>
      </w:r>
      <w:proofErr w:type="spellEnd"/>
      <w:r>
        <w:rPr>
          <w:color w:val="44546A" w:themeColor="text2"/>
        </w:rPr>
        <w:t xml:space="preserve">” </w:t>
      </w:r>
      <w:r w:rsidR="00B62693">
        <w:rPr>
          <w:color w:val="44546A" w:themeColor="text2"/>
        </w:rPr>
        <w:t>are the forward, paired reads (first sequenced). “</w:t>
      </w:r>
      <w:proofErr w:type="spellStart"/>
      <w:r w:rsidR="00B62693">
        <w:rPr>
          <w:color w:val="44546A" w:themeColor="text2"/>
        </w:rPr>
        <w:t>rp</w:t>
      </w:r>
      <w:proofErr w:type="spellEnd"/>
      <w:r w:rsidR="00B62693">
        <w:rPr>
          <w:color w:val="44546A" w:themeColor="text2"/>
        </w:rPr>
        <w:t>” are the reverse, paired reads (second sequenced). “</w:t>
      </w:r>
      <w:proofErr w:type="spellStart"/>
      <w:r w:rsidR="00B62693">
        <w:rPr>
          <w:color w:val="44546A" w:themeColor="text2"/>
        </w:rPr>
        <w:t>fup</w:t>
      </w:r>
      <w:proofErr w:type="spellEnd"/>
      <w:r w:rsidR="00B62693">
        <w:rPr>
          <w:color w:val="44546A" w:themeColor="text2"/>
        </w:rPr>
        <w:t xml:space="preserve">” are the forward, </w:t>
      </w:r>
      <w:r w:rsidR="00B62693">
        <w:rPr>
          <w:color w:val="44546A" w:themeColor="text2"/>
        </w:rPr>
        <w:lastRenderedPageBreak/>
        <w:t>unpaired reads, meaning, these are reads for which the reverse read could not (for whatever reason) be reliably associated with the same fragment. “</w:t>
      </w:r>
      <w:proofErr w:type="spellStart"/>
      <w:r w:rsidR="00B62693">
        <w:rPr>
          <w:color w:val="44546A" w:themeColor="text2"/>
        </w:rPr>
        <w:t>rup</w:t>
      </w:r>
      <w:proofErr w:type="spellEnd"/>
      <w:r w:rsidR="00B62693">
        <w:rPr>
          <w:color w:val="44546A" w:themeColor="text2"/>
        </w:rPr>
        <w:t>” is the opposite of “</w:t>
      </w:r>
      <w:proofErr w:type="spellStart"/>
      <w:r w:rsidR="00B62693">
        <w:rPr>
          <w:color w:val="44546A" w:themeColor="text2"/>
        </w:rPr>
        <w:t>fup</w:t>
      </w:r>
      <w:proofErr w:type="spellEnd"/>
      <w:r w:rsidR="00B62693">
        <w:rPr>
          <w:color w:val="44546A" w:themeColor="text2"/>
        </w:rPr>
        <w:t>”. “</w:t>
      </w:r>
      <w:proofErr w:type="spellStart"/>
      <w:r w:rsidR="00B62693">
        <w:rPr>
          <w:color w:val="44546A" w:themeColor="text2"/>
        </w:rPr>
        <w:t>rup</w:t>
      </w:r>
      <w:proofErr w:type="spellEnd"/>
      <w:r w:rsidR="00B62693">
        <w:rPr>
          <w:color w:val="44546A" w:themeColor="text2"/>
        </w:rPr>
        <w:t>” and “</w:t>
      </w:r>
      <w:proofErr w:type="spellStart"/>
      <w:r w:rsidR="00B62693">
        <w:rPr>
          <w:color w:val="44546A" w:themeColor="text2"/>
        </w:rPr>
        <w:t>fup</w:t>
      </w:r>
      <w:proofErr w:type="spellEnd"/>
      <w:r w:rsidR="00B62693">
        <w:rPr>
          <w:color w:val="44546A" w:themeColor="text2"/>
        </w:rPr>
        <w:t>” are not useful and should really only be used for troubleshooting or QC analysis.</w:t>
      </w:r>
    </w:p>
    <w:p w14:paraId="039B8EBA" w14:textId="01F2CE6B" w:rsidR="00B62693" w:rsidRPr="00AA6C0D" w:rsidRDefault="00B62693" w:rsidP="00AA6C0D">
      <w:pPr>
        <w:rPr>
          <w:color w:val="44546A" w:themeColor="text2"/>
        </w:rPr>
      </w:pPr>
      <w:r>
        <w:rPr>
          <w:color w:val="44546A" w:themeColor="text2"/>
        </w:rPr>
        <w:t>All the other files (e.g. “DRR…”, “lane1…”, etc.) are technical artifacts or procedural files generated from the sequencer or trimming program (</w:t>
      </w:r>
      <w:proofErr w:type="spellStart"/>
      <w:r>
        <w:rPr>
          <w:color w:val="44546A" w:themeColor="text2"/>
        </w:rPr>
        <w:t>trimmomatic</w:t>
      </w:r>
      <w:proofErr w:type="spellEnd"/>
      <w:r>
        <w:rPr>
          <w:color w:val="44546A" w:themeColor="text2"/>
        </w:rPr>
        <w:t>…I think…).</w:t>
      </w:r>
    </w:p>
    <w:sectPr w:rsidR="00B62693" w:rsidRPr="00AA6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D9B"/>
    <w:rsid w:val="00157472"/>
    <w:rsid w:val="00354EB6"/>
    <w:rsid w:val="003F7A85"/>
    <w:rsid w:val="009D17B3"/>
    <w:rsid w:val="00AA6C0D"/>
    <w:rsid w:val="00AE64F5"/>
    <w:rsid w:val="00B62693"/>
    <w:rsid w:val="00FE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BC47"/>
  <w15:chartTrackingRefBased/>
  <w15:docId w15:val="{2FB5A097-A431-4D03-9CF8-E9FFB221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Lowry</dc:creator>
  <cp:keywords/>
  <dc:description/>
  <cp:lastModifiedBy>Tyler Nicholas Akonom</cp:lastModifiedBy>
  <cp:revision>2</cp:revision>
  <dcterms:created xsi:type="dcterms:W3CDTF">2020-08-03T04:20:00Z</dcterms:created>
  <dcterms:modified xsi:type="dcterms:W3CDTF">2020-08-03T04:20:00Z</dcterms:modified>
</cp:coreProperties>
</file>