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LLC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CONTENT SERVICES AGREEMENT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FORM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Order Form is attached to and incorporated into the Social Media Content Creation Master Services Agreement Terms and Conditions (the "Terms and Conditions") between Playkit, LLC ("Playkit") and ___________________________________________ ("Client"). This Order Form, together with the Terms and Conditions, constitutes the complete binding agreement between the parties for the Campaign described herein (collectively, the "Agreement"), and constitutes the first Campaign Order Form under the Agreement. In the event of any conflict between this Order Form and the Terms and Conditions, the Terms and Conditions shall govern unless this Order Form expressly states otherwise.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Engagement and Services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05"/>
        <w:tblGridChange w:id="0">
          <w:tblGrid>
            <w:gridCol w:w="3505"/>
            <w:gridCol w:w="360"/>
            <w:gridCol w:w="6205"/>
          </w:tblGrid>
        </w:tblGridChange>
      </w:tblGrid>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Date of the Agreement:</w:t>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Services Playkit will provide are:</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Social media content creation and management services including creator selection and coordination, content strategy development, high-volume short-form video production, cross-platform distribution, and weekly performance reporting.</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details (Scope of Services):</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team of approximately 10 creators creating approximately 900 unique short-form video posts per 6-week billing cycle, cross-posted to TikTok and Instagram for a combined total of approximately 1,800 posts. Includes pre-campaign research sprint, content strategy development, creator briefing, and end-to-end posting management.</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 are:</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TikTok account setup and profile optimization; pre-campaign research sprint and content strategy; approximately 900 unique short-form video posts per 6-week billing cycle, cross-posted to TikTok and Instagram (approximately 1,200 total posts); weekly metrics digest including views, likes, comments, and shares.</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Start Date:</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End Date: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Metrics/Target Volumes:</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volume: approximately 900 unique posts per 6-week billing cycle, cross-posted to TikTok and Instagram for approximately 1,800 total posts. Performance tracked weekly via views, likes, comments, and shares as reported by platform analytics.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Compensation and Payments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10"/>
        <w:tblGridChange w:id="0">
          <w:tblGrid>
            <w:gridCol w:w="3505"/>
            <w:gridCol w:w="360"/>
            <w:gridCol w:w="6210"/>
          </w:tblGrid>
        </w:tblGridChange>
      </w:tblGrid>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 Fee:</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$45,000 USD per 6 week billing period</w:t>
            </w: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Contingent Fee:</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per video reaching 100,000 views; $250 per video reaching 250,000 views; $500 per video reaching 500,000 views; $1,000 per video reaching 1,000,000 views. Bonuses are based on the highest milestone reached by the top-performing version of the creative across platforms, measured at approximately 72 hours post-posting via Trackr. Bonus pool capped at $5,000 per 6-week billing cycle.</w:t>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rHeight w:val="460" w:hRule="atLeast"/>
          <w:tblHeader w:val="0"/>
        </w:trPr>
        <w:tc>
          <w:tcPr>
            <w:vMerge w:val="restart"/>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Schedule: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of Fixed Fee due upon execution of Order Form </w:t>
            </w:r>
          </w:p>
        </w:tc>
      </w:tr>
      <w:tr>
        <w:trPr>
          <w:cantSplit w:val="0"/>
          <w:trHeight w:val="460"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of Fixed Fee due before Campaign Start Date</w:t>
            </w:r>
          </w:p>
        </w:tc>
      </w:tr>
      <w:tr>
        <w:trPr>
          <w:cantSplit w:val="0"/>
          <w:trHeight w:val="460"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Contingent Fee due within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days of invoice</w:t>
            </w:r>
          </w:p>
        </w:tc>
      </w:tr>
      <w:tr>
        <w:trPr>
          <w:cantSplit w:val="0"/>
          <w:trHeight w:val="460" w:hRule="atLeast"/>
          <w:tblHeader w:val="0"/>
        </w:trPr>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due within 30 days of invoice </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Client Materials and Assistance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05"/>
        <w:tblGridChange w:id="0">
          <w:tblGrid>
            <w:gridCol w:w="3505"/>
            <w:gridCol w:w="360"/>
            <w:gridCol w:w="6205"/>
          </w:tblGrid>
        </w:tblGridChange>
      </w:tblGrid>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provided materials (the “Client Materials”):</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Client shall complete and return Playkit's pre-campaign onboarding form within 1-3 business days of receipt.</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Assistance: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shall designate one primary point of contact for the duration of the campaign and remain reasonably available to respond to Playkit's content and logistics requests in a timely manner to avoid delays to the campaign timeline.</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Approval, Acceptance, Legal Review and Revisions.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approval timelines shall apply to Deliverables under this Campaign.  All approvals shall be provided in good faith and shall not be unreasonably  withheld, conditioned, or delayed.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450"/>
        <w:gridCol w:w="6115"/>
        <w:tblGridChange w:id="0">
          <w:tblGrid>
            <w:gridCol w:w="3505"/>
            <w:gridCol w:w="450"/>
            <w:gridCol w:w="6115"/>
          </w:tblGrid>
        </w:tblGridChange>
      </w:tblGrid>
      <w:tr>
        <w:trPr>
          <w:cantSplit w:val="0"/>
          <w:trHeight w:val="278" w:hRule="atLeast"/>
          <w:tblHeader w:val="0"/>
        </w:trPr>
        <w:tc>
          <w:tcPr>
            <w:vMerge w:val="restart"/>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Playbook: </w:t>
            </w:r>
          </w:p>
        </w:tc>
        <w:tc>
          <w:tcPr>
            <w:vMerge w:val="restart"/>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shall deliver proposed Playbook </w:t>
            </w:r>
            <w:r w:rsidDel="00000000" w:rsidR="00000000" w:rsidRPr="00000000">
              <w:rPr>
                <w:rFonts w:ascii="Times New Roman" w:cs="Times New Roman" w:eastAsia="Times New Roman" w:hAnsi="Times New Roman"/>
                <w:sz w:val="24"/>
                <w:szCs w:val="24"/>
                <w:rtl w:val="0"/>
              </w:rPr>
              <w:t xml:space="preserve">no later than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days of campaign start.</w:t>
            </w:r>
          </w:p>
        </w:tc>
      </w:tr>
      <w:tr>
        <w:trPr>
          <w:cantSplit w:val="0"/>
          <w:trHeight w:val="276"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shall review and approve/disapprove Playbook  within 1-2 business days of receipt </w:t>
            </w:r>
          </w:p>
        </w:tc>
      </w:tr>
      <w:tr>
        <w:trPr>
          <w:cantSplit w:val="0"/>
          <w:trHeight w:val="276" w:hRule="atLeast"/>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If Client fails to respond within the specified timeframe, the proposed Playbook shall be deemed approved.</w:t>
            </w:r>
          </w:p>
        </w:tc>
      </w:tr>
      <w:tr>
        <w:trPr>
          <w:cantSplit w:val="0"/>
          <w:trHeight w:val="278" w:hRule="atLeast"/>
          <w:tblHeader w:val="0"/>
        </w:trPr>
        <w:tc>
          <w:tcPr>
            <w:vMerge w:val="restart"/>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Reports </w:t>
            </w:r>
          </w:p>
        </w:tc>
        <w:tc>
          <w:tcPr>
            <w:vMerge w:val="restart"/>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shall deliver performance reports</w:t>
            </w:r>
            <w:r w:rsidDel="00000000" w:rsidR="00000000" w:rsidRPr="00000000">
              <w:rPr>
                <w:rFonts w:ascii="Times New Roman" w:cs="Times New Roman" w:eastAsia="Times New Roman" w:hAnsi="Times New Roman"/>
                <w:sz w:val="24"/>
                <w:szCs w:val="24"/>
                <w:rtl w:val="0"/>
              </w:rPr>
              <w:t xml:space="preserve"> in the form of:</w:t>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performance report delivered via email every Monday, starting on the second Monday of the campaign.</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weekly Playbook Revamp delivered by Thursday, which details a new content strategy to be implemented in the following week.</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Weekly calls to go over performance, insights, and any changes in strategy for the campaign</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overall campaign report delivered in the final week of the active billing period.</w:t>
            </w: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u w:val="none"/>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u w:val="none"/>
              </w:rPr>
            </w:pP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shall review and provide any questions or concerns within </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hours.</w:t>
            </w: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vMerge w:val="restart"/>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Disapprovals and Revisions: </w:t>
            </w:r>
          </w:p>
        </w:tc>
        <w:tc>
          <w:tcPr>
            <w:vMerge w:val="restart"/>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disapproval must be in writing with specific, actionable feedback</w:t>
            </w:r>
          </w:p>
        </w:tc>
      </w:tr>
      <w:tr>
        <w:trPr>
          <w:cantSplit w:val="0"/>
          <w:trHeight w:val="276"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Revisions requested after approval</w:t>
            </w:r>
            <w:r w:rsidDel="00000000" w:rsidR="00000000" w:rsidRPr="00000000">
              <w:rPr>
                <w:rFonts w:ascii="Times New Roman" w:cs="Times New Roman" w:eastAsia="Times New Roman" w:hAnsi="Times New Roman"/>
                <w:sz w:val="24"/>
                <w:szCs w:val="24"/>
                <w:rtl w:val="0"/>
              </w:rPr>
              <w:t xml:space="preserve"> will be implemented on the next Trackr upload date after the request was made.</w:t>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Order Form as of the date last signed below. </w:t>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5"/>
        <w:gridCol w:w="360"/>
        <w:gridCol w:w="4765"/>
        <w:tblGridChange w:id="0">
          <w:tblGrid>
            <w:gridCol w:w="4225"/>
            <w:gridCol w:w="360"/>
            <w:gridCol w:w="4765"/>
          </w:tblGrid>
        </w:tblGridChange>
      </w:tblGrid>
      <w:tr>
        <w:trPr>
          <w:cantSplit w:val="0"/>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LLC </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Client</w:t>
            </w: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Name: Julia Pintar</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 ______________________</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w:t>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_______________________</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__________________________</w:t>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Co-founder</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F0VNrf841coD30BJhO7TwK1YQ==">CgMxLjA4AHIhMTFZZGcxd2p2YjBBZVpSeWZuSGZhbVVPNzFHSWRfdFVK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0x010100C6E8F7DC7EDA4045A03865613B1271EE</vt:lpwstr>
  </property>
</Properties>
</file>