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F3864"/>
          <w:sz w:val="44"/>
          <w:szCs w:val="44"/>
        </w:rPr>
        <w:t xml:space="preserve">Government Regulatory API Infrastructure</w:t>
      </w:r>
    </w:p>
    <w:p>
      <w:pPr>
        <w:pBdr>
          <w:bottom w:val="single" w:color="2E75B6" w:sz="6" w:space="8"/>
        </w:pBdr>
        <w:spacing w:after="480"/>
        <w:jc w:val="center"/>
      </w:pPr>
      <w:r>
        <w:rPr>
          <w:i/>
          <w:iCs/>
          <w:color w:val="666666"/>
          <w:sz w:val="22"/>
          <w:szCs w:val="22"/>
        </w:rPr>
        <w:t xml:space="preserve">Overview of Federal Regulatory Data Access, Common Infrastructure, and Rate Limits</w:t>
      </w:r>
    </w:p>
    <w:p>
      <w:pPr>
        <w:pStyle w:val="Heading1"/>
      </w:pPr>
      <w:r>
        <w:t xml:space="preserve">Common Federal Infrastructure</w:t>
      </w:r>
    </w:p>
    <w:p>
      <w:pPr>
        <w:spacing w:after="200"/>
      </w:pPr>
      <w:r>
        <w:t xml:space="preserve">Most U.S. federal regulations share a centralized backbone. The Federal Register and the Code of Federal Regulations (CFR) are published through a unified system managed by the Government Publishing Office (GPO). The GPO runs eCFR.gov and provides a bulk data API, and the Federal Register API (federalregister.gov/developers) covers proposed and final rules across all agencies.</w:t>
      </w:r>
    </w:p>
    <w:p>
      <w:pPr>
        <w:spacing w:after="200"/>
      </w:pPr>
      <w:r>
        <w:t xml:space="preserve">This means that SEC rules (Title 17 of the CFR) and FAA aerospace rules (Title 14) sit in the same structured system and can be queried through the same APIs. The regulatory text itself lives in a shared infrastructure regardless of the issuing agency.</w:t>
      </w:r>
    </w:p>
    <w:p>
      <w:pPr>
        <w:pStyle w:val="Heading1"/>
      </w:pPr>
      <w:r>
        <w:t xml:space="preserve">Agency-Specific Layers</w:t>
      </w:r>
    </w:p>
    <w:p>
      <w:pPr>
        <w:spacing w:after="200"/>
      </w:pPr>
      <w:r>
        <w:t xml:space="preserve">Where things diverge is that individual agencies build their own systems for domain-specific needs:</w:t>
      </w:r>
    </w:p>
    <w:p>
      <w:pPr>
        <w:pStyle w:val="ListParagraph"/>
        <w:numPr>
          <w:ilvl w:val="0"/>
          <w:numId w:val="2"/>
        </w:numPr>
        <w:spacing w:after="120"/>
      </w:pPr>
      <w:r>
        <w:rPr>
          <w:b/>
          <w:bCs/>
        </w:rPr>
        <w:t xml:space="preserve">SEC (EDGAR): </w:t>
      </w:r>
      <w:r>
        <w:t xml:space="preserve">A massive structured database for filings, disclosure documents, and interpretive releases. It has its own REST API with XBRL data for structured financial reporting.</w:t>
      </w:r>
    </w:p>
    <w:p>
      <w:pPr>
        <w:pStyle w:val="ListParagraph"/>
        <w:numPr>
          <w:ilvl w:val="0"/>
          <w:numId w:val="2"/>
        </w:numPr>
        <w:spacing w:after="120"/>
      </w:pPr>
      <w:r>
        <w:rPr>
          <w:b/>
          <w:bCs/>
        </w:rPr>
        <w:t xml:space="preserve">FAA: </w:t>
      </w:r>
      <w:r>
        <w:t xml:space="preserve">Maintains regulatory databases for airworthiness directives, supplemental type certificates, and similar documents that don’t map neatly to the generic CFR structure.</w:t>
      </w:r>
    </w:p>
    <w:p>
      <w:pPr>
        <w:spacing w:after="200"/>
      </w:pPr>
      <w:r>
        <w:t xml:space="preserve">Most developers working with government regulatory data end up using a combination of the centralized CFR/Federal Register APIs for the actual rule text, plus agency-specific APIs or bulk downloads for enforcement actions, guidance documents, and filings that sit outside the formal rulemaking process.</w:t>
      </w:r>
    </w:p>
    <w:p>
      <w:pPr>
        <w:pStyle w:val="Heading1"/>
      </w:pPr>
      <w:r>
        <w:t xml:space="preserve">Data Formats</w:t>
      </w:r>
    </w:p>
    <w:p>
      <w:pPr>
        <w:spacing w:after="200"/>
      </w:pPr>
      <w:r>
        <w:t xml:space="preserve">The common infrastructure tends to use XML (GPO’s USLM schema) and JSON (Federal Register API). Agency-specific systems vary more—EDGAR uses XBRL and custom filing formats, for example.</w:t>
      </w:r>
    </w:p>
    <w:p>
      <w:pPr>
        <w:pStyle w:val="Heading1"/>
      </w:pPr>
      <w:r>
        <w:t xml:space="preserve">Rate Limits and Access Policies</w:t>
      </w:r>
    </w:p>
    <w:p>
      <w:pPr>
        <w:pStyle w:val="Heading2"/>
      </w:pPr>
      <w:r>
        <w:t xml:space="preserve">Federal Register API</w:t>
      </w:r>
    </w:p>
    <w:p>
      <w:pPr>
        <w:pStyle w:val="ListParagraph"/>
        <w:numPr>
          <w:ilvl w:val="0"/>
          <w:numId w:val="2"/>
        </w:numPr>
        <w:spacing w:after="80"/>
      </w:pPr>
      <w:r>
        <w:t xml:space="preserve">No API key required</w:t>
      </w:r>
    </w:p>
    <w:p>
      <w:pPr>
        <w:pStyle w:val="ListParagraph"/>
        <w:numPr>
          <w:ilvl w:val="0"/>
          <w:numId w:val="2"/>
        </w:numPr>
        <w:spacing w:after="80"/>
      </w:pPr>
      <w:r>
        <w:t xml:space="preserve">Rate limits are generally loose—around 1,000 requests per hour</w:t>
      </w:r>
    </w:p>
    <w:p>
      <w:pPr>
        <w:pStyle w:val="ListParagraph"/>
        <w:numPr>
          <w:ilvl w:val="0"/>
          <w:numId w:val="2"/>
        </w:numPr>
        <w:spacing w:after="200"/>
      </w:pPr>
      <w:r>
        <w:t xml:space="preserve">No formal SLA; uptime is not guaranteed</w:t>
      </w:r>
    </w:p>
    <w:p>
      <w:pPr>
        <w:pStyle w:val="Heading2"/>
      </w:pPr>
      <w:r>
        <w:t xml:space="preserve">eCFR / GPO Bulk Data</w:t>
      </w:r>
    </w:p>
    <w:p>
      <w:pPr>
        <w:pStyle w:val="ListParagraph"/>
        <w:numPr>
          <w:ilvl w:val="0"/>
          <w:numId w:val="2"/>
        </w:numPr>
        <w:spacing w:after="80"/>
      </w:pPr>
      <w:r>
        <w:t xml:space="preserve">Bulk XML downloads are freely available with no authentication</w:t>
      </w:r>
    </w:p>
    <w:p>
      <w:pPr>
        <w:pStyle w:val="ListParagraph"/>
        <w:numPr>
          <w:ilvl w:val="0"/>
          <w:numId w:val="2"/>
        </w:numPr>
        <w:spacing w:after="80"/>
      </w:pPr>
      <w:r>
        <w:t xml:space="preserve">No strict rate limits enforced; reasonable use expected</w:t>
      </w:r>
    </w:p>
    <w:p>
      <w:pPr>
        <w:pStyle w:val="ListParagraph"/>
        <w:numPr>
          <w:ilvl w:val="0"/>
          <w:numId w:val="2"/>
        </w:numPr>
        <w:spacing w:after="200"/>
      </w:pPr>
      <w:r>
        <w:t xml:space="preserve">Bulk data files can be very large; updates follow their own schedule</w:t>
      </w:r>
    </w:p>
    <w:p>
      <w:pPr>
        <w:pStyle w:val="Heading2"/>
      </w:pPr>
      <w:r>
        <w:t xml:space="preserve">SEC EDGAR</w:t>
      </w:r>
    </w:p>
    <w:p>
      <w:pPr>
        <w:pStyle w:val="ListParagraph"/>
        <w:numPr>
          <w:ilvl w:val="0"/>
          <w:numId w:val="2"/>
        </w:numPr>
        <w:spacing w:after="80"/>
      </w:pPr>
      <w:r>
        <w:t xml:space="preserve">Requires a User-Agent header identifying you (name and email)</w:t>
      </w:r>
    </w:p>
    <w:p>
      <w:pPr>
        <w:pStyle w:val="ListParagraph"/>
        <w:numPr>
          <w:ilvl w:val="0"/>
          <w:numId w:val="2"/>
        </w:numPr>
        <w:spacing w:after="80"/>
      </w:pPr>
      <w:r>
        <w:t xml:space="preserve">Capped at approximately 10 requests per second</w:t>
      </w:r>
    </w:p>
    <w:p>
      <w:pPr>
        <w:pStyle w:val="ListParagraph"/>
        <w:numPr>
          <w:ilvl w:val="0"/>
          <w:numId w:val="2"/>
        </w:numPr>
        <w:spacing w:after="80"/>
      </w:pPr>
      <w:r>
        <w:t xml:space="preserve">Exceeding limits results in throttling or IP blocking</w:t>
      </w:r>
    </w:p>
    <w:p>
      <w:pPr>
        <w:pStyle w:val="ListParagraph"/>
        <w:numPr>
          <w:ilvl w:val="0"/>
          <w:numId w:val="2"/>
        </w:numPr>
        <w:spacing w:after="200"/>
      </w:pPr>
      <w:r>
        <w:t xml:space="preserve">No API key needed, but usage patterns are monitored</w:t>
      </w:r>
    </w:p>
    <w:p>
      <w:pPr>
        <w:pStyle w:val="Heading1"/>
      </w:pPr>
      <w:r>
        <w:t xml:space="preserve">General Patterns Across Agencies</w:t>
      </w:r>
    </w:p>
    <w:p>
      <w:pPr>
        <w:pStyle w:val="ListParagraph"/>
        <w:numPr>
          <w:ilvl w:val="0"/>
          <w:numId w:val="2"/>
        </w:numPr>
        <w:spacing w:after="120"/>
      </w:pPr>
      <w:r>
        <w:t xml:space="preserve">Most do not require authentication or API keys—unusual compared to private APIs</w:t>
      </w:r>
    </w:p>
    <w:p>
      <w:pPr>
        <w:pStyle w:val="ListParagraph"/>
        <w:numPr>
          <w:ilvl w:val="0"/>
          <w:numId w:val="2"/>
        </w:numPr>
        <w:spacing w:after="120"/>
      </w:pPr>
      <w:r>
        <w:t xml:space="preserve">Rate limiting tends to be honor-system-based, with User-Agent identification</w:t>
      </w:r>
    </w:p>
    <w:p>
      <w:pPr>
        <w:pStyle w:val="ListParagraph"/>
        <w:numPr>
          <w:ilvl w:val="0"/>
          <w:numId w:val="2"/>
        </w:numPr>
        <w:spacing w:after="120"/>
      </w:pPr>
      <w:r>
        <w:t xml:space="preserve">Documentation quality varies widely across agencies</w:t>
      </w:r>
    </w:p>
    <w:p>
      <w:pPr>
        <w:pStyle w:val="ListParagraph"/>
        <w:numPr>
          <w:ilvl w:val="0"/>
          <w:numId w:val="2"/>
        </w:numPr>
        <w:spacing w:after="120"/>
      </w:pPr>
      <w:r>
        <w:t xml:space="preserve">Data freshness can lag—eCFR may be days behind the official Federal Register publication</w:t>
      </w:r>
    </w:p>
    <w:p>
      <w:pPr>
        <w:pStyle w:val="ListParagraph"/>
        <w:numPr>
          <w:ilvl w:val="0"/>
          <w:numId w:val="2"/>
        </w:numPr>
        <w:spacing w:after="120"/>
      </w:pPr>
      <w:r>
        <w:t xml:space="preserve">Some public data is only available through FOIA requests rather than APIs</w:t>
      </w:r>
    </w:p>
    <w:p>
      <w:pPr>
        <w:pStyle w:val="Heading1"/>
      </w:pPr>
      <w:r>
        <w:t xml:space="preserve">Practical Considerations</w:t>
      </w:r>
    </w:p>
    <w:p>
      <w:pPr>
        <w:spacing w:after="200"/>
      </w:pPr>
      <w:r>
        <w:t xml:space="preserve">The biggest bottleneck is usually parsing and normalizing data across sources rather than hitting rate limits. Pagination can be inconsistent, bulk downloads may be the only realistic option for large queries, and historical data availability varies by agency.</w:t>
      </w:r>
    </w:p>
    <w:p>
      <w:pPr>
        <w:spacing w:after="200"/>
      </w:pPr>
      <w:r>
        <w:t xml:space="preserve">For developers getting started, the Federal Register API is typically the best entry point since it covers all agencies uniformly and provides well-documented JSON endpoints.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2026-03-28T04:15:11.766Z</dcterms:created>
  <dcterms:modified xsi:type="dcterms:W3CDTF">2026-03-28T04:15:11.767Z</dcterms:modified>
</cp:coreProperties>
</file>

<file path=docProps/custom.xml><?xml version="1.0" encoding="utf-8"?>
<Properties xmlns="http://schemas.openxmlformats.org/officeDocument/2006/custom-properties" xmlns:vt="http://schemas.openxmlformats.org/officeDocument/2006/docPropsVTypes"/>
</file>