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1a365d"/>
          <w:sz w:val="56"/>
          <w:szCs w:val="56"/>
        </w:rPr>
        <w:t xml:space="preserve">Security Audit Plan</w:t>
      </w:r>
    </w:p>
    <w:p>
      <w:pPr>
        <w:spacing w:after="200"/>
        <w:jc w:val="center"/>
      </w:pPr>
      <w:r>
        <w:rPr>
          <w:color w:val="4a5568"/>
          <w:sz w:val="28"/>
          <w:szCs w:val="28"/>
        </w:rPr>
        <w:t xml:space="preserve">AI-Generated Code Security &amp; FTC Health Breach Notification Compliance</w:t>
      </w:r>
    </w:p>
    <w:p>
      <w:pPr>
        <w:spacing w:after="600"/>
        <w:jc w:val="center"/>
      </w:pPr>
      <w:r>
        <w:rPr>
          <w:i/>
          <w:iCs/>
          <w:sz w:val="24"/>
          <w:szCs w:val="24"/>
        </w:rPr>
        <w:t xml:space="preserve">LumiMD Patient Care Management Platform</w:t>
      </w:r>
    </w:p>
    <w:p>
      <w:pPr>
        <w:spacing w:after="100"/>
        <w:jc w:val="center"/>
      </w:pPr>
      <w:r>
        <w:rPr>
          <w:color w:val="666666"/>
          <w:sz w:val="20"/>
          <w:szCs w:val="20"/>
        </w:rPr>
        <w:t xml:space="preserve">Generated: January 12, 2026</w:t>
      </w:r>
    </w:p>
    <w:p>
      <w:r>
        <w:br w:type="page"/>
      </w:r>
    </w:p>
    <w:p>
      <w:pPr>
        <w:pStyle w:val="Heading1"/>
      </w:pPr>
      <w:r>
        <w:t xml:space="preserve">Executive Summary</w:t>
      </w:r>
    </w:p>
    <w:p>
      <w:pPr>
        <w:spacing w:after="200"/>
      </w:pPr>
      <w:r>
        <w:t xml:space="preserve">AI coding assistants introduce significant security vulnerabilities—studies show 25-73% of AI-generated code contains security weaknesses, with Java reaching a 72% failure rate on OWASP Top 10 tests. For a healthcare application handling sensitive patient data, this creates compounding security and regulatory risks.</w:t>
      </w:r>
    </w:p>
    <w:p>
      <w:pPr>
        <w:spacing w:after="200"/>
      </w:pPr>
      <w:r>
        <w:t xml:space="preserve">Your specific stack faces critical vulnerabilities requiring immediate attention: Next.js 14.1 has an unpatched SSRF (CVE-2024-34351), pdfmake contains a CVSS 9.8 RCE (CVE-2024-25180), and several dependencies have known security issues.</w:t>
      </w:r>
    </w:p>
    <w:p>
      <w:pPr>
        <w:spacing w:after="200"/>
      </w:pPr>
      <w:r>
        <w:t xml:space="preserve">As a direct-to-consumer health app, LumiMD falls under the FTC Health Breach Notification Rule (HBNR), which was significantly expanded in July 2024. This requires breach notification to users, the FTC, and potentially media within 60 days, with penalties up to $53,088 per violation.</w:t>
      </w:r>
    </w:p>
    <w:p>
      <w:r>
        <w:br w:type="page"/>
      </w:r>
    </w:p>
    <w:p>
      <w:pPr>
        <w:pStyle w:val="Heading1"/>
      </w:pPr>
      <w:r>
        <w:t xml:space="preserve">Part 1: AI-Generated Code Security Vulnerabilities</w:t>
      </w:r>
    </w:p>
    <w:p>
      <w:pPr>
        <w:pStyle w:val="Heading2"/>
      </w:pPr>
      <w:r>
        <w:t xml:space="preserve">Research Findings</w:t>
      </w:r>
    </w:p>
    <w:p>
      <w:pPr>
        <w:spacing w:after="200"/>
      </w:pPr>
      <w:r>
        <w:t xml:space="preserve">A seminal 2022 study by Pearce et al. found 40% of 1,689 GitHub Copilot-generated programs contained vulnerabilities mapping to MITRE's CWE Top 25, with C code showing approximately 50% vulnerability rates. The 2025 Veracode GenAI Code Security Report tested 100+ LLMs and found 45% of generated samples failed OWASP Top 10 security tests—with no improvement in newer models.</w:t>
      </w:r>
    </w:p>
    <w:p>
      <w:pPr>
        <w:spacing w:after="200"/>
      </w:pPr>
      <w:r>
        <w:t xml:space="preserve">Cross-site scripting dominates AI code security failures with an 86% failure rate in Veracode testing. Insufficient randomness (CWE-330), SQL/NoSQL injection (CWE-89), and missing authentication (CWE-306) appear consistently across studies.</w:t>
      </w:r>
    </w:p>
    <w:p>
      <w:pPr>
        <w:pStyle w:val="Heading3"/>
      </w:pPr>
      <w:r>
        <w:t xml:space="preserve">Vulnerability Rates by Tool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c>
          <w:tcPr>
            <w:tcW w:type="dxa" w:w="24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Tool</w:t>
            </w:r>
          </w:p>
        </w:tc>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Vuln Rate</w:t>
            </w:r>
          </w:p>
        </w:tc>
        <w:tc>
          <w:tcPr>
            <w:tcW w:type="dxa" w:w="24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Known CVEs</w:t>
            </w:r>
          </w:p>
        </w:tc>
        <w:tc>
          <w:tcPr>
            <w:tcW w:type="dxa" w:w="27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Notable Issues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Copilot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29.8-40%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CVE-2025-53773</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Command injection via prompt injection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Amazon CodeWhisperer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AWS-2025-019</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Lower rate for AWS-specific code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Code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Research ongoing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CVE-2025-52882</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WebSocket authentication bypass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Cursor AI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Documented RCE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CVE-2025-49150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exfiltration via JSON schema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ChatGPT/Codex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5/21 secure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CVE-2025-61260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package hallucination rate</w:t>
            </w:r>
          </w:p>
        </w:tc>
      </w:tr>
    </w:tbl>
    <w:p>
      <w:pPr>
        <w:spacing w:before="200" w:after="200"/>
      </w:pPr>
      <w:r>
        <w:rPr>
          <w:b/>
          <w:bCs/>
        </w:rPr>
        <w:t xml:space="preserve">Recommendation: AI-generated code should be treated as untrusted input requiring security review equivalent to external contributions.</w:t>
      </w:r>
    </w:p>
    <w:p>
      <w:pPr>
        <w:pStyle w:val="Heading2"/>
      </w:pPr>
      <w:r>
        <w:t xml:space="preserve">Common Vulnerability Patterns</w:t>
      </w:r>
    </w:p>
    <w:p>
      <w:pPr>
        <w:pStyle w:val="ListParagraph"/>
        <w:numPr>
          <w:ilvl w:val="0"/>
          <w:numId w:val="2"/>
        </w:numPr>
      </w:pPr>
      <w:r>
        <w:t xml:space="preserve">Cross-Site Scripting (XSS) - 86% failure rate, particularly in React dangerouslySetInnerHTML usage</w:t>
      </w:r>
    </w:p>
    <w:p>
      <w:pPr>
        <w:pStyle w:val="ListParagraph"/>
        <w:numPr>
          <w:ilvl w:val="0"/>
          <w:numId w:val="2"/>
        </w:numPr>
      </w:pPr>
      <w:r>
        <w:t xml:space="preserve">Insufficient Randomness (CWE-330) - AI often suggests Math.random() for security-critical operations</w:t>
      </w:r>
    </w:p>
    <w:p>
      <w:pPr>
        <w:pStyle w:val="ListParagraph"/>
        <w:numPr>
          <w:ilvl w:val="0"/>
          <w:numId w:val="2"/>
        </w:numPr>
      </w:pPr>
      <w:r>
        <w:t xml:space="preserve">SQL/NoSQL Injection (CWE-89) - Missing parameterization in database queries</w:t>
      </w:r>
    </w:p>
    <w:p>
      <w:pPr>
        <w:pStyle w:val="ListParagraph"/>
        <w:numPr>
          <w:ilvl w:val="0"/>
          <w:numId w:val="2"/>
        </w:numPr>
      </w:pPr>
      <w:r>
        <w:t xml:space="preserve">Missing Authentication (CWE-306) - Omitted ownership checks in Firestore operations</w:t>
      </w:r>
    </w:p>
    <w:p>
      <w:pPr>
        <w:pStyle w:val="ListParagraph"/>
        <w:numPr>
          <w:ilvl w:val="0"/>
          <w:numId w:val="2"/>
        </w:numPr>
      </w:pPr>
      <w:r>
        <w:t xml:space="preserve">Hardcoded Credentials - Placeholder API keys and secrets in generated code</w:t>
      </w:r>
    </w:p>
    <w:p>
      <w:pPr>
        <w:pStyle w:val="ListParagraph"/>
        <w:numPr>
          <w:ilvl w:val="0"/>
          <w:numId w:val="2"/>
        </w:numPr>
      </w:pPr>
      <w:r>
        <w:t xml:space="preserve">Incomplete Input Validation - Type-only checks without length limits or format validation</w:t>
      </w:r>
    </w:p>
    <w:p>
      <w:r>
        <w:br w:type="page"/>
      </w:r>
    </w:p>
    <w:p>
      <w:pPr>
        <w:pStyle w:val="Heading1"/>
      </w:pPr>
      <w:r>
        <w:t xml:space="preserve">Part 2: Stack-Specific Security Vulnerabilities</w:t>
      </w:r>
    </w:p>
    <w:p>
      <w:pPr>
        <w:pStyle w:val="Heading2"/>
      </w:pPr>
      <w:r>
        <w:t xml:space="preserve">Critical CVEs Requiring Immediate Action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200"/>
        <w:gridCol w:w="3960"/>
      </w:tblGrid>
      <w:tr>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Package</w:t>
            </w:r>
          </w:p>
        </w:tc>
        <w:tc>
          <w:tcPr>
            <w:tcW w:type="dxa" w:w="24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CVE</w:t>
            </w:r>
          </w:p>
        </w:tc>
        <w:tc>
          <w:tcPr>
            <w:tcW w:type="dxa" w:w="1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CVSS</w:t>
            </w:r>
          </w:p>
        </w:tc>
        <w:tc>
          <w:tcPr>
            <w:tcW w:type="dxa" w:w="39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Action Required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14.1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CVE-2024-34351</w:t>
            </w:r>
          </w:p>
        </w:tc>
        <w:tc>
          <w:tcPr>
            <w:tcW w:type="dxa" w:w="1200"/>
            <w:tcBorders>
              <w:top w:val="single" w:color="CCCCCC" w:sz="1"/>
              <w:left w:val="single" w:color="CCCCCC" w:sz="1"/>
              <w:bottom w:val="single" w:color="CCCCCC" w:sz="1"/>
              <w:right w:val="single" w:color="CCCCCC" w:sz="1"/>
            </w:tcBorders>
            <w:shd w:fill="FED7D7" w:val="clear"/>
            <w:tcMar>
              <w:top w:type="dxa" w:w="80"/>
              <w:left w:type="dxa" w:w="120"/>
              <w:bottom w:type="dxa" w:w="80"/>
              <w:right w:type="dxa" w:w="120"/>
            </w:tcMar>
          </w:tcPr>
          <w:p>
            <w:r>
              <w:rPr>
                <w:rFonts w:ascii="Arial" w:cs="Arial" w:eastAsia="Arial" w:hAnsi="Arial"/>
                <w:sz w:val="20"/>
                <w:szCs w:val="20"/>
              </w:rPr>
              <w:t xml:space="preserve">High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Upgrade to 14.2.35+ (SSRF vulnerability)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CVE-2025-29927</w:t>
            </w:r>
          </w:p>
        </w:tc>
        <w:tc>
          <w:tcPr>
            <w:tcW w:type="dxa" w:w="1200"/>
            <w:tcBorders>
              <w:top w:val="single" w:color="CCCCCC" w:sz="1"/>
              <w:left w:val="single" w:color="CCCCCC" w:sz="1"/>
              <w:bottom w:val="single" w:color="CCCCCC" w:sz="1"/>
              <w:right w:val="single" w:color="CCCCCC" w:sz="1"/>
            </w:tcBorders>
            <w:shd w:fill="FED7D7" w:val="clear"/>
            <w:tcMar>
              <w:top w:type="dxa" w:w="80"/>
              <w:left w:type="dxa" w:w="120"/>
              <w:bottom w:type="dxa" w:w="80"/>
              <w:right w:type="dxa" w:w="120"/>
            </w:tcMar>
          </w:tcPr>
          <w:p>
            <w:r>
              <w:rPr>
                <w:rFonts w:ascii="Arial" w:cs="Arial" w:eastAsia="Arial" w:hAnsi="Arial"/>
                <w:sz w:val="20"/>
                <w:szCs w:val="20"/>
              </w:rPr>
              <w:t xml:space="preserve">Critical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Middleware authorization bypass - upgrade immediately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pdfmake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CVE-2024-25180</w:t>
            </w:r>
          </w:p>
        </w:tc>
        <w:tc>
          <w:tcPr>
            <w:tcW w:type="dxa" w:w="1200"/>
            <w:tcBorders>
              <w:top w:val="single" w:color="CCCCCC" w:sz="1"/>
              <w:left w:val="single" w:color="CCCCCC" w:sz="1"/>
              <w:bottom w:val="single" w:color="CCCCCC" w:sz="1"/>
              <w:right w:val="single" w:color="CCCCCC" w:sz="1"/>
            </w:tcBorders>
            <w:shd w:fill="FED7D7" w:val="clear"/>
            <w:tcMar>
              <w:top w:type="dxa" w:w="80"/>
              <w:left w:type="dxa" w:w="120"/>
              <w:bottom w:type="dxa" w:w="80"/>
              <w:right w:type="dxa" w:w="120"/>
            </w:tcMar>
          </w:tcPr>
          <w:p>
            <w:r>
              <w:rPr>
                <w:rFonts w:ascii="Arial" w:cs="Arial" w:eastAsia="Arial" w:hAnsi="Arial"/>
                <w:sz w:val="20"/>
                <w:szCs w:val="20"/>
              </w:rPr>
              <w:t xml:space="preserve">9.8</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Arbitrary code injection - upgrade and validate all inputs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pdfmake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CVE-2022-46161</w:t>
            </w:r>
          </w:p>
        </w:tc>
        <w:tc>
          <w:tcPr>
            <w:tcW w:type="dxa" w:w="1200"/>
            <w:tcBorders>
              <w:top w:val="single" w:color="CCCCCC" w:sz="1"/>
              <w:left w:val="single" w:color="CCCCCC" w:sz="1"/>
              <w:bottom w:val="single" w:color="CCCCCC" w:sz="1"/>
              <w:right w:val="single" w:color="CCCCCC" w:sz="1"/>
            </w:tcBorders>
            <w:shd w:fill="FED7D7" w:val="clear"/>
            <w:tcMar>
              <w:top w:type="dxa" w:w="80"/>
              <w:left w:type="dxa" w:w="120"/>
              <w:bottom w:type="dxa" w:w="80"/>
              <w:right w:type="dxa" w:w="120"/>
            </w:tcMar>
          </w:tcPr>
          <w:p>
            <w:r>
              <w:rPr>
                <w:rFonts w:ascii="Arial" w:cs="Arial" w:eastAsia="Arial" w:hAnsi="Arial"/>
                <w:sz w:val="20"/>
                <w:szCs w:val="20"/>
              </w:rPr>
              <w:t xml:space="preserve">9.4</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Remote code execution via unsafe evaluation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CVE-2023-4316</w:t>
            </w:r>
          </w:p>
        </w:tc>
        <w:tc>
          <w:tcPr>
            <w:tcW w:type="dxa" w:w="1200"/>
            <w:tcBorders>
              <w:top w:val="single" w:color="CCCCCC" w:sz="1"/>
              <w:left w:val="single" w:color="CCCCCC" w:sz="1"/>
              <w:bottom w:val="single" w:color="CCCCCC" w:sz="1"/>
              <w:right w:val="single" w:color="CCCCCC" w:sz="1"/>
            </w:tcBorders>
            <w:shd w:fill="FEEBC8" w:val="clear"/>
            <w:tcMar>
              <w:top w:type="dxa" w:w="80"/>
              <w:left w:type="dxa" w:w="120"/>
              <w:bottom w:type="dxa" w:w="80"/>
              <w:right w:type="dxa" w:w="120"/>
            </w:tcMar>
          </w:tcPr>
          <w:p>
            <w:r>
              <w:rPr>
                <w:rFonts w:ascii="Arial" w:cs="Arial" w:eastAsia="Arial" w:hAnsi="Arial"/>
                <w:sz w:val="20"/>
                <w:szCs w:val="20"/>
              </w:rPr>
              <w:t xml:space="preserve">Medium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Upgrade to 3.22.4+ (ReDoS in email validation)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@firebase/auth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CVE-2024-11023</w:t>
            </w:r>
          </w:p>
        </w:tc>
        <w:tc>
          <w:tcPr>
            <w:tcW w:type="dxa" w:w="1200"/>
            <w:tcBorders>
              <w:top w:val="single" w:color="CCCCCC" w:sz="1"/>
              <w:left w:val="single" w:color="CCCCCC" w:sz="1"/>
              <w:bottom w:val="single" w:color="CCCCCC" w:sz="1"/>
              <w:right w:val="single" w:color="CCCCCC" w:sz="1"/>
            </w:tcBorders>
            <w:shd w:fill="FEEBC8" w:val="clear"/>
            <w:tcMar>
              <w:top w:type="dxa" w:w="80"/>
              <w:left w:type="dxa" w:w="120"/>
              <w:bottom w:type="dxa" w:w="80"/>
              <w:right w:type="dxa" w:w="120"/>
            </w:tcMar>
          </w:tcPr>
          <w:p>
            <w:r>
              <w:rPr>
                <w:rFonts w:ascii="Arial" w:cs="Arial" w:eastAsia="Arial" w:hAnsi="Arial"/>
                <w:sz w:val="20"/>
                <w:szCs w:val="20"/>
              </w:rPr>
              <w:t xml:space="preserve">Medium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Upgrade to 1.6.2+ (XSS via _authTokenSyncURL)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19.1 (RSC)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CVE-2025-55182</w:t>
            </w:r>
          </w:p>
        </w:tc>
        <w:tc>
          <w:tcPr>
            <w:tcW w:type="dxa" w:w="1200"/>
            <w:tcBorders>
              <w:top w:val="single" w:color="CCCCCC" w:sz="1"/>
              <w:left w:val="single" w:color="CCCCCC" w:sz="1"/>
              <w:bottom w:val="single" w:color="CCCCCC" w:sz="1"/>
              <w:right w:val="single" w:color="CCCCCC" w:sz="1"/>
            </w:tcBorders>
            <w:shd w:fill="FED7D7" w:val="clear"/>
            <w:tcMar>
              <w:top w:type="dxa" w:w="80"/>
              <w:left w:type="dxa" w:w="120"/>
              <w:bottom w:type="dxa" w:w="80"/>
              <w:right w:type="dxa" w:w="120"/>
            </w:tcMar>
          </w:tcPr>
          <w:p>
            <w:r>
              <w:rPr>
                <w:rFonts w:ascii="Arial" w:cs="Arial" w:eastAsia="Arial" w:hAnsi="Arial"/>
                <w:sz w:val="20"/>
                <w:szCs w:val="20"/>
              </w:rPr>
              <w:t xml:space="preserve">10.0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using Server Components, upgrade to 19.1.4+</w:t>
            </w:r>
          </w:p>
        </w:tc>
      </w:tr>
    </w:tbl>
    <w:p>
      <w:pPr>
        <w:pStyle w:val="Heading2"/>
      </w:pPr>
      <w:r>
        <w:t xml:space="preserve">React Native Mobile Security</w:t>
      </w:r>
    </w:p>
    <w:p>
      <w:pPr>
        <w:spacing w:after="200"/>
      </w:pPr>
      <w:r>
        <w:rPr>
          <w:b/>
          <w:bCs/>
        </w:rPr>
        <w:t xml:space="preserve">Critical Issue: AsyncStorage stores data unencrypted in plaintext.</w:t>
      </w:r>
    </w:p>
    <w:p>
      <w:pPr>
        <w:spacing w:after="200"/>
      </w:pPr>
      <w:r>
        <w:t xml:space="preserve">For a healthcare application storing authentication tokens or cached patient data, unencrypted storage creates significant security risk. Migrate sensitive data to encrypted storage solutions.</w:t>
      </w:r>
    </w:p>
    <w:p>
      <w:pPr>
        <w:pStyle w:val="ListParagraph"/>
        <w:numPr>
          <w:ilvl w:val="0"/>
          <w:numId w:val="2"/>
        </w:numPr>
      </w:pPr>
      <w:r>
        <w:rPr>
          <w:b/>
          <w:bCs/>
        </w:rPr>
        <w:t xml:space="preserve">react-native-encrypted-storage: </w:t>
      </w:r>
      <w:r>
        <w:t xml:space="preserve">Uses EncryptedSharedPreferences (Android) + Keychain (iOS) with AES-256</w:t>
      </w:r>
    </w:p>
    <w:p>
      <w:pPr>
        <w:pStyle w:val="ListParagraph"/>
        <w:numPr>
          <w:ilvl w:val="0"/>
          <w:numId w:val="2"/>
        </w:numPr>
      </w:pPr>
      <w:r>
        <w:rPr>
          <w:b/>
          <w:bCs/>
        </w:rPr>
        <w:t xml:space="preserve">react-native-keychain: </w:t>
      </w:r>
      <w:r>
        <w:t xml:space="preserve">iOS Keychain + Android Keystore integration</w:t>
      </w:r>
    </w:p>
    <w:p>
      <w:pPr>
        <w:spacing w:after="200"/>
      </w:pPr>
    </w:p>
    <w:p>
      <w:pPr>
        <w:spacing w:after="200"/>
      </w:pPr>
      <w:r>
        <w:t xml:space="preserve">Deep linking vulnerabilities present another critical attack surface. No centralized URL scheme registry exists—malicious apps can register identical schemes to intercept authentication callbacks. Implement Universal Links (iOS) and App Links (Android) with domain verification.</w:t>
      </w:r>
    </w:p>
    <w:p>
      <w:pPr>
        <w:pStyle w:val="Heading2"/>
      </w:pPr>
      <w:r>
        <w:t xml:space="preserve">Firebase Security Rules</w:t>
      </w:r>
    </w:p>
    <w:p>
      <w:pPr>
        <w:spacing w:after="200"/>
      </w:pPr>
      <w:r>
        <w:t xml:space="preserve">Analysis of 950 Firebase projects found 25% contained vulnerable security rules. The most dangerous anti-pattern is rules cascade—rules at parent paths override child rules. The March 2024 Firebase incident exposed 19.8 million secrets through misconfigured security rules.</w:t>
      </w:r>
    </w:p>
    <w:p>
      <w:pPr>
        <w:spacing w:after="100"/>
      </w:pPr>
      <w:r>
        <w:rPr>
          <w:b/>
          <w:bCs/>
        </w:rPr>
        <w:t xml:space="preserve">Common Firebase Security Rule Mistakes:</w:t>
      </w:r>
    </w:p>
    <w:p>
      <w:pPr>
        <w:pStyle w:val="ListParagraph"/>
        <w:numPr>
          <w:ilvl w:val="0"/>
          <w:numId w:val="2"/>
        </w:numPr>
      </w:pPr>
      <w:r>
        <w:t xml:space="preserve">Open read/write rules: allow read, write: if true</w:t>
      </w:r>
    </w:p>
    <w:p>
      <w:pPr>
        <w:pStyle w:val="ListParagraph"/>
        <w:numPr>
          <w:ilvl w:val="0"/>
          <w:numId w:val="2"/>
        </w:numPr>
      </w:pPr>
      <w:r>
        <w:t xml:space="preserve">Missing ownership checks on document access</w:t>
      </w:r>
    </w:p>
    <w:p>
      <w:pPr>
        <w:pStyle w:val="ListParagraph"/>
        <w:numPr>
          <w:ilvl w:val="0"/>
          <w:numId w:val="2"/>
        </w:numPr>
      </w:pPr>
      <w:r>
        <w:t xml:space="preserve">Overly permissive parent rules cascading to children</w:t>
      </w:r>
    </w:p>
    <w:p>
      <w:pPr>
        <w:pStyle w:val="ListParagraph"/>
        <w:numPr>
          <w:ilvl w:val="0"/>
          <w:numId w:val="2"/>
        </w:numPr>
      </w:pPr>
      <w:r>
        <w:t xml:space="preserve">No data validation in security rules</w:t>
      </w:r>
    </w:p>
    <w:p>
      <w:pPr>
        <w:pStyle w:val="Heading2"/>
      </w:pPr>
      <w:r>
        <w:t xml:space="preserve">OpenAI API Security</w:t>
      </w:r>
    </w:p>
    <w:p>
      <w:pPr>
        <w:spacing w:after="200"/>
      </w:pPr>
      <w:r>
        <w:t xml:space="preserve">OpenAI publicly acknowledges that prompt injection "may always be vulnerable"—only 34.7% of enterprises have deployed dedicated defenses. For AI transcription processing visit recordings, implement defense-in-depth.</w:t>
      </w:r>
    </w:p>
    <w:p>
      <w:pPr>
        <w:pStyle w:val="ListParagraph"/>
        <w:numPr>
          <w:ilvl w:val="0"/>
          <w:numId w:val="2"/>
        </w:numPr>
      </w:pPr>
      <w:r>
        <w:t xml:space="preserve">Never expose API keys in client-side code (search for 'sk-' pattern)</w:t>
      </w:r>
    </w:p>
    <w:p>
      <w:pPr>
        <w:pStyle w:val="ListParagraph"/>
        <w:numPr>
          <w:ilvl w:val="0"/>
          <w:numId w:val="2"/>
        </w:numPr>
      </w:pPr>
      <w:r>
        <w:t xml:space="preserve">Store keys in Google Cloud Secret Manager, not environment variables in source</w:t>
      </w:r>
    </w:p>
    <w:p>
      <w:pPr>
        <w:pStyle w:val="ListParagraph"/>
        <w:numPr>
          <w:ilvl w:val="0"/>
          <w:numId w:val="2"/>
        </w:numPr>
      </w:pPr>
      <w:r>
        <w:t xml:space="preserve">Implement input validation detecting injection patterns</w:t>
      </w:r>
    </w:p>
    <w:p>
      <w:pPr>
        <w:pStyle w:val="ListParagraph"/>
        <w:numPr>
          <w:ilvl w:val="0"/>
          <w:numId w:val="2"/>
        </w:numPr>
      </w:pPr>
      <w:r>
        <w:t xml:space="preserve">Use structured prompts separating trusted (system) from untrusted (user) content</w:t>
      </w:r>
    </w:p>
    <w:p>
      <w:pPr>
        <w:pStyle w:val="ListParagraph"/>
        <w:numPr>
          <w:ilvl w:val="0"/>
          <w:numId w:val="2"/>
        </w:numPr>
      </w:pPr>
      <w:r>
        <w:t xml:space="preserve">Validate outputs for sensitive data leakage before displaying or storing</w:t>
      </w:r>
    </w:p>
    <w:p>
      <w:r>
        <w:br w:type="page"/>
      </w:r>
    </w:p>
    <w:p>
      <w:pPr>
        <w:pStyle w:val="Heading1"/>
      </w:pPr>
      <w:r>
        <w:t xml:space="preserve">Part 3: FTC Health Breach Notification Rule Compliance</w:t>
      </w:r>
    </w:p>
    <w:p>
      <w:pPr>
        <w:pStyle w:val="Heading2"/>
      </w:pPr>
      <w:r>
        <w:t xml:space="preserve">Applicability to LumiMD</w:t>
      </w:r>
    </w:p>
    <w:p>
      <w:pPr>
        <w:spacing w:after="200"/>
      </w:pPr>
      <w:r>
        <w:t xml:space="preserve">The FTC Health Breach Notification Rule (HBNR) applies to "vendors of personal health records" not covered by HIPAA. As of July 29, 2024, the amended rule explicitly includes direct-to-consumer health apps, connected devices, and similar products.</w:t>
      </w:r>
    </w:p>
    <w:p>
      <w:pPr>
        <w:spacing w:after="200"/>
      </w:pPr>
      <w:r>
        <w:rPr>
          <w:b/>
          <w:bCs/>
        </w:rPr>
        <w:t xml:space="preserve">LumiMD qualifies as a "vendor of personal health records" because it: </w:t>
      </w:r>
    </w:p>
    <w:p>
      <w:pPr>
        <w:pStyle w:val="ListParagraph"/>
        <w:numPr>
          <w:ilvl w:val="0"/>
          <w:numId w:val="2"/>
        </w:numPr>
      </w:pPr>
      <w:r>
        <w:t xml:space="preserve">Offers or maintains electronic health records (visit recordings, medication tracking)</w:t>
      </w:r>
    </w:p>
    <w:p>
      <w:pPr>
        <w:pStyle w:val="ListParagraph"/>
        <w:numPr>
          <w:ilvl w:val="0"/>
          <w:numId w:val="2"/>
        </w:numPr>
      </w:pPr>
      <w:r>
        <w:t xml:space="preserve">Has technical capacity to draw information from multiple sources</w:t>
      </w:r>
    </w:p>
    <w:p>
      <w:pPr>
        <w:pStyle w:val="ListParagraph"/>
        <w:numPr>
          <w:ilvl w:val="0"/>
          <w:numId w:val="2"/>
        </w:numPr>
      </w:pPr>
      <w:r>
        <w:t xml:space="preserve">Is managed, shared, and controlled by or primarily for the individual</w:t>
      </w:r>
    </w:p>
    <w:p>
      <w:pPr>
        <w:pStyle w:val="Heading2"/>
      </w:pPr>
      <w:r>
        <w:t xml:space="preserve">What Constitutes a Breach</w:t>
      </w:r>
    </w:p>
    <w:p>
      <w:pPr>
        <w:spacing w:after="200"/>
      </w:pPr>
      <w:r>
        <w:rPr>
          <w:b/>
          <w:bCs/>
        </w:rPr>
        <w:t xml:space="preserve">Critical: A "breach" is NOT limited to cybersecurity intrusions.</w:t>
      </w:r>
    </w:p>
    <w:p>
      <w:pPr>
        <w:spacing w:after="200"/>
      </w:pPr>
      <w:r>
        <w:t xml:space="preserve">Under the HBNR, a breach includes any unauthorized acquisition of unsecured PHR identifiable health information, including:</w:t>
      </w:r>
    </w:p>
    <w:p>
      <w:pPr>
        <w:pStyle w:val="ListParagraph"/>
        <w:numPr>
          <w:ilvl w:val="0"/>
          <w:numId w:val="2"/>
        </w:numPr>
      </w:pPr>
      <w:r>
        <w:t xml:space="preserve">Cybersecurity intrusions or hacking incidents</w:t>
      </w:r>
    </w:p>
    <w:p>
      <w:pPr>
        <w:pStyle w:val="ListParagraph"/>
        <w:numPr>
          <w:ilvl w:val="0"/>
          <w:numId w:val="2"/>
        </w:numPr>
      </w:pPr>
      <w:r>
        <w:t xml:space="preserve">Unauthorized disclosure by the company (e.g., sharing with analytics/ad networks without consent)</w:t>
      </w:r>
    </w:p>
    <w:p>
      <w:pPr>
        <w:pStyle w:val="ListParagraph"/>
        <w:numPr>
          <w:ilvl w:val="0"/>
          <w:numId w:val="2"/>
        </w:numPr>
      </w:pPr>
      <w:r>
        <w:t xml:space="preserve">Employee access without authorization</w:t>
      </w:r>
    </w:p>
    <w:p>
      <w:pPr>
        <w:pStyle w:val="ListParagraph"/>
        <w:numPr>
          <w:ilvl w:val="0"/>
          <w:numId w:val="2"/>
        </w:numPr>
      </w:pPr>
      <w:r>
        <w:t xml:space="preserve">Lost or stolen devices containing unencrypted health data</w:t>
      </w:r>
    </w:p>
    <w:p>
      <w:pPr>
        <w:pStyle w:val="Heading2"/>
      </w:pPr>
      <w:r>
        <w:t xml:space="preserve">Notification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Notify</w:t>
            </w:r>
          </w:p>
        </w:tc>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Timing</w:t>
            </w:r>
          </w:p>
        </w:tc>
        <w:tc>
          <w:tcPr>
            <w:tcW w:type="dxa" w:w="3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2"/>
                <w:szCs w:val="22"/>
              </w:rPr>
              <w:t xml:space="preserve">Method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Affected Individuals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Within 60 days, without unreasonable delay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(with text/in-app/banner) OR first-class mail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FTC</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 affected: same time as individuals; &lt;500: within 60 days of calendar year end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Online form: ftc.gov/business-guidance/health-breach-form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 residents of a single state: within 60 days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Prominent media outlets serving the affected locale</w:t>
            </w:r>
          </w:p>
        </w:tc>
      </w:tr>
    </w:tbl>
    <w:p>
      <w:pPr>
        <w:pStyle w:val="Heading2"/>
      </w:pPr>
      <w:r>
        <w:t xml:space="preserve">Required Notification Content</w:t>
      </w:r>
    </w:p>
    <w:p>
      <w:pPr>
        <w:spacing w:after="100"/>
      </w:pPr>
      <w:r>
        <w:t xml:space="preserve">All breach notifications must include:</w:t>
      </w:r>
    </w:p>
    <w:p>
      <w:pPr>
        <w:pStyle w:val="ListParagraph"/>
        <w:numPr>
          <w:ilvl w:val="0"/>
          <w:numId w:val="2"/>
        </w:numPr>
      </w:pPr>
      <w:r>
        <w:t xml:space="preserve">Brief description of what happened (date of breach, date discovered)</w:t>
      </w:r>
    </w:p>
    <w:p>
      <w:pPr>
        <w:pStyle w:val="ListParagraph"/>
        <w:numPr>
          <w:ilvl w:val="0"/>
          <w:numId w:val="2"/>
        </w:numPr>
      </w:pPr>
      <w:r>
        <w:t xml:space="preserve">Identity of third parties that acquired the information (if disclosable)</w:t>
      </w:r>
    </w:p>
    <w:p>
      <w:pPr>
        <w:pStyle w:val="ListParagraph"/>
        <w:numPr>
          <w:ilvl w:val="0"/>
          <w:numId w:val="2"/>
        </w:numPr>
      </w:pPr>
      <w:r>
        <w:t xml:space="preserve">Types of PHR identifiable health information involved</w:t>
      </w:r>
    </w:p>
    <w:p>
      <w:pPr>
        <w:pStyle w:val="ListParagraph"/>
        <w:numPr>
          <w:ilvl w:val="0"/>
          <w:numId w:val="2"/>
        </w:numPr>
      </w:pPr>
      <w:r>
        <w:t xml:space="preserve">Steps individuals can take to protect themselves</w:t>
      </w:r>
    </w:p>
    <w:p>
      <w:pPr>
        <w:pStyle w:val="ListParagraph"/>
        <w:numPr>
          <w:ilvl w:val="0"/>
          <w:numId w:val="2"/>
        </w:numPr>
      </w:pPr>
      <w:r>
        <w:t xml:space="preserve">Steps your business is taking to investigate and prevent future breaches</w:t>
      </w:r>
    </w:p>
    <w:p>
      <w:pPr>
        <w:pStyle w:val="ListParagraph"/>
        <w:numPr>
          <w:ilvl w:val="0"/>
          <w:numId w:val="2"/>
        </w:numPr>
      </w:pPr>
      <w:r>
        <w:t xml:space="preserve">At least two contact methods (toll-free phone, email, website, in-app, or postal)</w:t>
      </w:r>
    </w:p>
    <w:p>
      <w:pPr>
        <w:pStyle w:val="Heading2"/>
      </w:pPr>
      <w:r>
        <w:t xml:space="preserve">Penalties</w:t>
      </w:r>
    </w:p>
    <w:p>
      <w:pPr>
        <w:spacing w:after="200"/>
      </w:pPr>
      <w:r>
        <w:rPr>
          <w:b/>
          <w:bCs/>
        </w:rPr>
        <w:t xml:space="preserve">Civil penalty: Up to $53,088 per violation (as of January 2025).</w:t>
      </w:r>
    </w:p>
    <w:p>
      <w:pPr>
        <w:spacing w:after="200"/>
      </w:pPr>
      <w:r>
        <w:t xml:space="preserve">Each individual whose information was breached and not properly notified may constitute a separate violation.</w:t>
      </w:r>
    </w:p>
    <w:p>
      <w:pPr>
        <w:pStyle w:val="Heading2"/>
      </w:pPr>
      <w:r>
        <w:t xml:space="preserve">Compliance Implementation Checklist</w:t>
      </w:r>
    </w:p>
    <w:p>
      <w:pPr>
        <w:pStyle w:val="ListParagraph"/>
        <w:numPr>
          <w:ilvl w:val="0"/>
          <w:numId w:val="3"/>
        </w:numPr>
      </w:pPr>
      <w:r>
        <w:t xml:space="preserve">Document all data flows involving PHR identifiable health information</w:t>
      </w:r>
    </w:p>
    <w:p>
      <w:pPr>
        <w:pStyle w:val="ListParagraph"/>
        <w:numPr>
          <w:ilvl w:val="0"/>
          <w:numId w:val="3"/>
        </w:numPr>
      </w:pPr>
      <w:r>
        <w:t xml:space="preserve">Encrypt all health data at rest (eliminates notification requirement for encrypted data)</w:t>
      </w:r>
    </w:p>
    <w:p>
      <w:pPr>
        <w:pStyle w:val="ListParagraph"/>
        <w:numPr>
          <w:ilvl w:val="0"/>
          <w:numId w:val="3"/>
        </w:numPr>
      </w:pPr>
      <w:r>
        <w:t xml:space="preserve">Audit all third-party data sharing (analytics, advertising, service providers)</w:t>
      </w:r>
    </w:p>
    <w:p>
      <w:pPr>
        <w:pStyle w:val="ListParagraph"/>
        <w:numPr>
          <w:ilvl w:val="0"/>
          <w:numId w:val="3"/>
        </w:numPr>
      </w:pPr>
      <w:r>
        <w:t xml:space="preserve">Implement breach detection and logging mechanisms</w:t>
      </w:r>
    </w:p>
    <w:p>
      <w:pPr>
        <w:pStyle w:val="ListParagraph"/>
        <w:numPr>
          <w:ilvl w:val="0"/>
          <w:numId w:val="3"/>
        </w:numPr>
      </w:pPr>
      <w:r>
        <w:t xml:space="preserve">Create incident response plan with notification templates</w:t>
      </w:r>
    </w:p>
    <w:p>
      <w:pPr>
        <w:pStyle w:val="ListParagraph"/>
        <w:numPr>
          <w:ilvl w:val="0"/>
          <w:numId w:val="3"/>
        </w:numPr>
      </w:pPr>
      <w:r>
        <w:t xml:space="preserve">Establish user communication preferences for breach notification method</w:t>
      </w:r>
    </w:p>
    <w:p>
      <w:pPr>
        <w:pStyle w:val="ListParagraph"/>
        <w:numPr>
          <w:ilvl w:val="0"/>
          <w:numId w:val="3"/>
        </w:numPr>
      </w:pPr>
      <w:r>
        <w:t xml:space="preserve">Document third-party service provider agreements with breach notification terms</w:t>
      </w:r>
    </w:p>
    <w:p>
      <w:pPr>
        <w:pStyle w:val="ListParagraph"/>
        <w:numPr>
          <w:ilvl w:val="0"/>
          <w:numId w:val="3"/>
        </w:numPr>
      </w:pPr>
      <w:r>
        <w:t xml:space="preserve">Train team on breach identification and escalation procedures</w:t>
      </w:r>
    </w:p>
    <w:p>
      <w:r>
        <w:br w:type="page"/>
      </w:r>
    </w:p>
    <w:p>
      <w:pPr>
        <w:pStyle w:val="Heading1"/>
      </w:pPr>
      <w:r>
        <w:t xml:space="preserve">Part 4: IDE Security Tooling Configuration</w:t>
      </w:r>
    </w:p>
    <w:p>
      <w:pPr>
        <w:pStyle w:val="Heading2"/>
      </w:pPr>
      <w:r>
        <w:t xml:space="preserve">Recommended Tool Stack</w:t>
      </w:r>
    </w:p>
    <w:p>
      <w:pPr>
        <w:spacing w:after="200"/>
      </w:pPr>
      <w:r>
        <w:t xml:space="preserve">Antigravity IDE is Google's VS Code fork using OpenVSX rather than VS Code Marketplace. Most VS Code extensions work via manual .vsix installation.</w:t>
      </w:r>
    </w:p>
    <w:p>
      <w:pPr>
        <w:pStyle w:val="Heading3"/>
      </w:pPr>
      <w:r>
        <w:t xml:space="preserve">IDE-Integrated Tools (Essential Free Stack)</w:t>
      </w:r>
    </w:p>
    <w:p>
      <w:pPr>
        <w:pStyle w:val="ListParagraph"/>
        <w:numPr>
          <w:ilvl w:val="0"/>
          <w:numId w:val="2"/>
        </w:numPr>
      </w:pPr>
      <w:r>
        <w:rPr>
          <w:b/>
          <w:bCs/>
        </w:rPr>
        <w:t xml:space="preserve">SonarQube for IDE (SonarLint): </w:t>
      </w:r>
      <w:r>
        <w:t xml:space="preserve">Available on OpenVSX; real-time analysis for 20+ languages</w:t>
      </w:r>
    </w:p>
    <w:p>
      <w:pPr>
        <w:pStyle w:val="ListParagraph"/>
        <w:numPr>
          <w:ilvl w:val="0"/>
          <w:numId w:val="2"/>
        </w:numPr>
      </w:pPr>
      <w:r>
        <w:rPr>
          <w:b/>
          <w:bCs/>
        </w:rPr>
        <w:t xml:space="preserve">Semgrep: </w:t>
      </w:r>
      <w:r>
        <w:t xml:space="preserve">Requires .vsix installation; custom SAST rules with React/TypeScript support</w:t>
      </w:r>
    </w:p>
    <w:p>
      <w:pPr>
        <w:pStyle w:val="ListParagraph"/>
        <w:numPr>
          <w:ilvl w:val="0"/>
          <w:numId w:val="2"/>
        </w:numPr>
      </w:pPr>
      <w:r>
        <w:rPr>
          <w:b/>
          <w:bCs/>
        </w:rPr>
        <w:t xml:space="preserve">ESLint with eslint-plugin-security: </w:t>
      </w:r>
      <w:r>
        <w:t xml:space="preserve">Native support; detects object injection, unsafe regex, eval patterns</w:t>
      </w:r>
    </w:p>
    <w:p>
      <w:pPr>
        <w:pStyle w:val="Heading3"/>
      </w:pPr>
      <w:r>
        <w:t xml:space="preserve">Pre-commit Hooks</w:t>
      </w:r>
    </w:p>
    <w:p>
      <w:pPr>
        <w:pStyle w:val="ListParagraph"/>
        <w:numPr>
          <w:ilvl w:val="0"/>
          <w:numId w:val="2"/>
        </w:numPr>
      </w:pPr>
      <w:r>
        <w:rPr>
          <w:b/>
          <w:bCs/>
        </w:rPr>
        <w:t xml:space="preserve">Gitleaks: </w:t>
      </w:r>
      <w:r>
        <w:t xml:space="preserve">OSS secret detection with OpenAI API key pattern support</w:t>
      </w:r>
    </w:p>
    <w:p>
      <w:pPr>
        <w:pStyle w:val="ListParagraph"/>
        <w:numPr>
          <w:ilvl w:val="0"/>
          <w:numId w:val="2"/>
        </w:numPr>
      </w:pPr>
      <w:r>
        <w:rPr>
          <w:b/>
          <w:bCs/>
        </w:rPr>
        <w:t xml:space="preserve">GitGuardian: </w:t>
      </w:r>
      <w:r>
        <w:t xml:space="preserve">350+ secret types; free tier for 25 users</w:t>
      </w:r>
    </w:p>
    <w:p>
      <w:pPr>
        <w:pStyle w:val="Heading3"/>
      </w:pPr>
      <w:r>
        <w:t xml:space="preserve">CI/CD Pipeline</w:t>
      </w:r>
    </w:p>
    <w:p>
      <w:pPr>
        <w:pStyle w:val="ListParagraph"/>
        <w:numPr>
          <w:ilvl w:val="0"/>
          <w:numId w:val="2"/>
        </w:numPr>
      </w:pPr>
      <w:r>
        <w:rPr>
          <w:b/>
          <w:bCs/>
        </w:rPr>
        <w:t xml:space="preserve">GitHub CodeQL: </w:t>
      </w:r>
      <w:r>
        <w:t xml:space="preserve">Deep semantic SAST for JavaScript/TypeScript</w:t>
      </w:r>
    </w:p>
    <w:p>
      <w:pPr>
        <w:pStyle w:val="ListParagraph"/>
        <w:numPr>
          <w:ilvl w:val="0"/>
          <w:numId w:val="2"/>
        </w:numPr>
      </w:pPr>
      <w:r>
        <w:rPr>
          <w:b/>
          <w:bCs/>
        </w:rPr>
        <w:t xml:space="preserve">Socket.dev: </w:t>
      </w:r>
      <w:r>
        <w:t xml:space="preserve">Supply chain attack detection for npm dependencies</w:t>
      </w:r>
    </w:p>
    <w:p>
      <w:pPr>
        <w:pStyle w:val="ListParagraph"/>
        <w:numPr>
          <w:ilvl w:val="0"/>
          <w:numId w:val="2"/>
        </w:numPr>
      </w:pPr>
      <w:r>
        <w:rPr>
          <w:b/>
          <w:bCs/>
        </w:rPr>
        <w:t xml:space="preserve">Firebase Emulator Suite: </w:t>
      </w:r>
      <w:r>
        <w:t xml:space="preserve">Jest-compatible Firestore rules testing</w:t>
      </w:r>
    </w:p>
    <w:p>
      <w:pPr>
        <w:pStyle w:val="Heading2"/>
      </w:pPr>
      <w:r>
        <w:t xml:space="preserve">ESLint Security Configuration</w:t>
      </w:r>
    </w:p>
    <w:p>
      <w:pPr>
        <w:spacing w:after="100"/>
      </w:pPr>
      <w:r>
        <w:t xml:space="preserve">Add to eslint.config.js:</w:t>
      </w:r>
    </w:p>
    <w:p>
      <w:pPr>
        <w:shd w:fill="F7FAFC" w:val="clear"/>
        <w:spacing w:after="200"/>
      </w:pPr>
      <w:r>
        <w:rPr>
          <w:rFonts w:ascii="Courier New" w:cs="Courier New" w:eastAsia="Courier New" w:hAnsi="Courier New"/>
          <w:sz w:val="18"/>
          <w:szCs w:val="18"/>
        </w:rPr>
        <w:t xml:space="preserve">import pluginSecurity from 'eslint-plugin-security';
export default [pluginSecurity.configs.recommended, { rules: {
  'security/detect-object-injection': 'warn',
  'security/detect-non-literal-regexp': 'error',
  'security/detect-unsafe-regex': 'error',
  'security/detect-eval-with-expression': 'error'
}}];</w:t>
      </w:r>
    </w:p>
    <w:p>
      <w:pPr>
        <w:pStyle w:val="Heading2"/>
      </w:pPr>
      <w:r>
        <w:t xml:space="preserve">Semgrep Custom Rules</w:t>
      </w:r>
    </w:p>
    <w:p>
      <w:pPr>
        <w:spacing w:after="100"/>
      </w:pPr>
      <w:r>
        <w:t xml:space="preserve">Save as .semgrep.yml in project root:</w:t>
      </w:r>
    </w:p>
    <w:p>
      <w:pPr>
        <w:shd w:fill="F7FAFC" w:val="clear"/>
        <w:spacing w:after="200"/>
      </w:pPr>
      <w:r>
        <w:rPr>
          <w:rFonts w:ascii="Courier New" w:cs="Courier New" w:eastAsia="Courier New" w:hAnsi="Courier New"/>
          <w:sz w:val="18"/>
          <w:szCs w:val="18"/>
        </w:rPr>
        <w:t xml:space="preserve">rules:
  - id: react-dangerouslysetinnerhtml
    pattern: dangerouslySetInnerHTML={{__html: $X}}
    message: "Potential XSS - requires manual review"
    severity: WARNING
    languages: [typescript, javascript]
  - id: asyncstorage-sensitive-data
    pattern: AsyncStorage.setItem($KEY, $VALUE)
    message: "AsyncStorage unencrypted - use encrypted storage"
    severity: WARNING
    languages: [typescript, javascript]</w:t>
      </w:r>
    </w:p>
    <w:p>
      <w:pPr>
        <w:pStyle w:val="Heading2"/>
      </w:pPr>
      <w:r>
        <w:t xml:space="preserve">Pre-commit Configuration</w:t>
      </w:r>
    </w:p>
    <w:p>
      <w:pPr>
        <w:spacing w:after="100"/>
      </w:pPr>
      <w:r>
        <w:t xml:space="preserve">Save as .pre-commit-config.yaml:</w:t>
      </w:r>
    </w:p>
    <w:p>
      <w:pPr>
        <w:shd w:fill="F7FAFC" w:val="clear"/>
        <w:spacing w:after="200"/>
      </w:pPr>
      <w:r>
        <w:rPr>
          <w:rFonts w:ascii="Courier New" w:cs="Courier New" w:eastAsia="Courier New" w:hAnsi="Courier New"/>
          <w:sz w:val="18"/>
          <w:szCs w:val="18"/>
        </w:rPr>
        <w:t xml:space="preserve">repos:
  - repo: https://github.com/gitleaks/gitleaks
    rev: v8.18.0
    hooks:
      - id: gitleaks
  - repo: local
    hooks:
      - id: npm-audit
        name: npm audit
        entry: npm audit --audit-level=high
        language: system
        pass_filenames: false</w:t>
      </w:r>
    </w:p>
    <w:p>
      <w:r>
        <w:br w:type="page"/>
      </w:r>
    </w:p>
    <w:p>
      <w:pPr>
        <w:pStyle w:val="Heading1"/>
      </w:pPr>
      <w:r>
        <w:t xml:space="preserve">Part 5: Comprehensive Security Audit Checklist</w:t>
      </w:r>
    </w:p>
    <w:p>
      <w:pPr>
        <w:pStyle w:val="Heading2"/>
      </w:pPr>
      <w:r>
        <w:t xml:space="preserve">Critical Severity (Execute Before Any Deployment)</w:t>
      </w:r>
    </w:p>
    <w:p>
      <w:pPr>
        <w:spacing w:before="200"/>
      </w:pPr>
      <w:r>
        <w:rPr>
          <w:b/>
          <w:bCs/>
          <w:color w:val="C53030"/>
        </w:rPr>
        <w:t xml:space="preserve">Dependency Patches</w:t>
      </w:r>
    </w:p>
    <w:p>
      <w:pPr>
        <w:pStyle w:val="ListParagraph"/>
        <w:numPr>
          <w:ilvl w:val="0"/>
          <w:numId w:val="3"/>
        </w:numPr>
      </w:pPr>
      <w:r>
        <w:t xml:space="preserve">Upgrade Next.js to 14.2.35 or later (CVE-2024-34351, CVE-2025-29927)</w:t>
      </w:r>
    </w:p>
    <w:p>
      <w:pPr>
        <w:pStyle w:val="ListParagraph"/>
        <w:numPr>
          <w:ilvl w:val="0"/>
          <w:numId w:val="3"/>
        </w:numPr>
      </w:pPr>
      <w:r>
        <w:t xml:space="preserve">Upgrade pdfmake to latest, audit all PDF inputs (CVE-2024-25180, CVE-2022-46161)</w:t>
      </w:r>
    </w:p>
    <w:p>
      <w:pPr>
        <w:pStyle w:val="ListParagraph"/>
        <w:numPr>
          <w:ilvl w:val="0"/>
          <w:numId w:val="3"/>
        </w:numPr>
      </w:pPr>
      <w:r>
        <w:t xml:space="preserve">Upgrade Zod to 3.22.4+ (CVE-2023-4316)</w:t>
      </w:r>
    </w:p>
    <w:p>
      <w:pPr>
        <w:pStyle w:val="ListParagraph"/>
        <w:numPr>
          <w:ilvl w:val="0"/>
          <w:numId w:val="3"/>
        </w:numPr>
      </w:pPr>
      <w:r>
        <w:t xml:space="preserve">Upgrade @firebase/auth to 1.6.2+ (CVE-2024-11023)</w:t>
      </w:r>
    </w:p>
    <w:p>
      <w:pPr>
        <w:pStyle w:val="ListParagraph"/>
        <w:numPr>
          <w:ilvl w:val="0"/>
          <w:numId w:val="3"/>
        </w:numPr>
      </w:pPr>
      <w:r>
        <w:t xml:space="preserve">Upgrade React to 19.1.4+ if using Server Components (CVE-2025-55182)</w:t>
      </w:r>
    </w:p>
    <w:p>
      <w:pPr>
        <w:pStyle w:val="ListParagraph"/>
        <w:numPr>
          <w:ilvl w:val="0"/>
          <w:numId w:val="3"/>
        </w:numPr>
      </w:pPr>
      <w:r>
        <w:t xml:space="preserve">Run npm audit --audit-level=critical and resolve all findings</w:t>
      </w:r>
    </w:p>
    <w:p>
      <w:pPr>
        <w:spacing w:before="200"/>
      </w:pPr>
      <w:r>
        <w:rPr>
          <w:b/>
          <w:bCs/>
          <w:color w:val="C53030"/>
        </w:rPr>
        <w:t xml:space="preserve">Secret Detection</w:t>
      </w:r>
    </w:p>
    <w:p>
      <w:pPr>
        <w:pStyle w:val="ListParagraph"/>
        <w:numPr>
          <w:ilvl w:val="0"/>
          <w:numId w:val="3"/>
        </w:numPr>
      </w:pPr>
      <w:r>
        <w:t xml:space="preserve">Configure GitGuardian or Gitleaks pre-commit hook</w:t>
      </w:r>
    </w:p>
    <w:p>
      <w:pPr>
        <w:pStyle w:val="ListParagraph"/>
        <w:numPr>
          <w:ilvl w:val="0"/>
          <w:numId w:val="3"/>
        </w:numPr>
      </w:pPr>
      <w:r>
        <w:t xml:space="preserve">Scan repository history: gitleaks detect --source . --verbose</w:t>
      </w:r>
    </w:p>
    <w:p>
      <w:pPr>
        <w:pStyle w:val="ListParagraph"/>
        <w:numPr>
          <w:ilvl w:val="0"/>
          <w:numId w:val="3"/>
        </w:numPr>
      </w:pPr>
      <w:r>
        <w:t xml:space="preserve">Verify OpenAI API keys not in client-side code (search for 'sk-' pattern)</w:t>
      </w:r>
    </w:p>
    <w:p>
      <w:pPr>
        <w:pStyle w:val="ListParagraph"/>
        <w:numPr>
          <w:ilvl w:val="0"/>
          <w:numId w:val="3"/>
        </w:numPr>
      </w:pPr>
      <w:r>
        <w:t xml:space="preserve">Migrate all secrets to Google Cloud Secret Manager</w:t>
      </w:r>
    </w:p>
    <w:p>
      <w:pPr>
        <w:pStyle w:val="ListParagraph"/>
        <w:numPr>
          <w:ilvl w:val="0"/>
          <w:numId w:val="3"/>
        </w:numPr>
      </w:pPr>
      <w:r>
        <w:t xml:space="preserve">Remove any secrets from .env files committed to git</w:t>
      </w:r>
    </w:p>
    <w:p>
      <w:pPr>
        <w:spacing w:before="200"/>
      </w:pPr>
      <w:r>
        <w:rPr>
          <w:b/>
          <w:bCs/>
          <w:color w:val="C53030"/>
        </w:rPr>
        <w:t xml:space="preserve">Data Encryption (FTC HBNR Compliance)</w:t>
      </w:r>
    </w:p>
    <w:p>
      <w:pPr>
        <w:pStyle w:val="ListParagraph"/>
        <w:numPr>
          <w:ilvl w:val="0"/>
          <w:numId w:val="3"/>
        </w:numPr>
      </w:pPr>
      <w:r>
        <w:t xml:space="preserve">Encrypt all health data at rest (eliminates breach notification for encrypted data)</w:t>
      </w:r>
    </w:p>
    <w:p>
      <w:pPr>
        <w:pStyle w:val="ListParagraph"/>
        <w:numPr>
          <w:ilvl w:val="0"/>
          <w:numId w:val="3"/>
        </w:numPr>
      </w:pPr>
      <w:r>
        <w:t xml:space="preserve">Migrate mobile storage from AsyncStorage to react-native-encrypted-storage</w:t>
      </w:r>
    </w:p>
    <w:p>
      <w:pPr>
        <w:pStyle w:val="ListParagraph"/>
        <w:numPr>
          <w:ilvl w:val="0"/>
          <w:numId w:val="3"/>
        </w:numPr>
      </w:pPr>
      <w:r>
        <w:t xml:space="preserve">Implement TLS 1.2+ for all data transmission</w:t>
      </w:r>
    </w:p>
    <w:p>
      <w:pPr>
        <w:pStyle w:val="Heading2"/>
      </w:pPr>
      <w:r>
        <w:t xml:space="preserve">High Severity (Execute Within One Week)</w:t>
      </w:r>
    </w:p>
    <w:p>
      <w:pPr>
        <w:spacing w:before="200"/>
      </w:pPr>
      <w:r>
        <w:rPr>
          <w:b/>
          <w:bCs/>
          <w:color w:val="DD6B20"/>
        </w:rPr>
        <w:t xml:space="preserve">Firebase Security Rules Audit</w:t>
      </w:r>
    </w:p>
    <w:p>
      <w:pPr>
        <w:pStyle w:val="ListParagraph"/>
        <w:numPr>
          <w:ilvl w:val="0"/>
          <w:numId w:val="3"/>
        </w:numPr>
      </w:pPr>
      <w:r>
        <w:t xml:space="preserve">Review all Firestore rules for 'allow read, write: if true' patterns</w:t>
      </w:r>
    </w:p>
    <w:p>
      <w:pPr>
        <w:pStyle w:val="ListParagraph"/>
        <w:numPr>
          <w:ilvl w:val="0"/>
          <w:numId w:val="3"/>
        </w:numPr>
      </w:pPr>
      <w:r>
        <w:t xml:space="preserve">Verify all document access includes ownership checks (request.auth.uid)</w:t>
      </w:r>
    </w:p>
    <w:p>
      <w:pPr>
        <w:pStyle w:val="ListParagraph"/>
        <w:numPr>
          <w:ilvl w:val="0"/>
          <w:numId w:val="3"/>
        </w:numPr>
      </w:pPr>
      <w:r>
        <w:t xml:space="preserve">Implement data validation in rules (field presence, types, sizes)</w:t>
      </w:r>
    </w:p>
    <w:p>
      <w:pPr>
        <w:pStyle w:val="ListParagraph"/>
        <w:numPr>
          <w:ilvl w:val="0"/>
          <w:numId w:val="3"/>
        </w:numPr>
      </w:pPr>
      <w:r>
        <w:t xml:space="preserve">Test rules with Firebase Emulator before deployment</w:t>
      </w:r>
    </w:p>
    <w:p>
      <w:pPr>
        <w:pStyle w:val="ListParagraph"/>
        <w:numPr>
          <w:ilvl w:val="0"/>
          <w:numId w:val="3"/>
        </w:numPr>
      </w:pPr>
      <w:r>
        <w:t xml:space="preserve">Review Storage rules for file type and size validation</w:t>
      </w:r>
    </w:p>
    <w:p>
      <w:pPr>
        <w:spacing w:before="200"/>
      </w:pPr>
      <w:r>
        <w:rPr>
          <w:b/>
          <w:bCs/>
          <w:color w:val="DD6B20"/>
        </w:rPr>
        <w:t xml:space="preserve">Authentication and Authorization</w:t>
      </w:r>
    </w:p>
    <w:p>
      <w:pPr>
        <w:pStyle w:val="ListParagraph"/>
        <w:numPr>
          <w:ilvl w:val="0"/>
          <w:numId w:val="3"/>
        </w:numPr>
      </w:pPr>
      <w:r>
        <w:t xml:space="preserve">Implement server-side ID token verification for all protected endpoints</w:t>
      </w:r>
    </w:p>
    <w:p>
      <w:pPr>
        <w:pStyle w:val="ListParagraph"/>
        <w:numPr>
          <w:ilvl w:val="0"/>
          <w:numId w:val="3"/>
        </w:numPr>
      </w:pPr>
      <w:r>
        <w:t xml:space="preserve">Add custom claims for role-based access (patient, caregiver, admin)</w:t>
      </w:r>
    </w:p>
    <w:p>
      <w:pPr>
        <w:pStyle w:val="ListParagraph"/>
        <w:numPr>
          <w:ilvl w:val="0"/>
          <w:numId w:val="3"/>
        </w:numPr>
      </w:pPr>
      <w:r>
        <w:t xml:space="preserve">Implement automatic session timeout (recommended: 15-30 minutes)</w:t>
      </w:r>
    </w:p>
    <w:p>
      <w:pPr>
        <w:pStyle w:val="ListParagraph"/>
        <w:numPr>
          <w:ilvl w:val="0"/>
          <w:numId w:val="3"/>
        </w:numPr>
      </w:pPr>
      <w:r>
        <w:t xml:space="preserve">Block x-middleware-subrequest header at WAF/load balancer level</w:t>
      </w:r>
    </w:p>
    <w:p>
      <w:pPr>
        <w:spacing w:before="200"/>
      </w:pPr>
      <w:r>
        <w:rPr>
          <w:b/>
          <w:bCs/>
          <w:color w:val="DD6B20"/>
        </w:rPr>
        <w:t xml:space="preserve">Mobile Application Security</w:t>
      </w:r>
    </w:p>
    <w:p>
      <w:pPr>
        <w:pStyle w:val="ListParagraph"/>
        <w:numPr>
          <w:ilvl w:val="0"/>
          <w:numId w:val="3"/>
        </w:numPr>
      </w:pPr>
      <w:r>
        <w:t xml:space="preserve">Implement iOS Keychain with kSecAttrAccessibleWhenUnlockedThisDeviceOnly</w:t>
      </w:r>
    </w:p>
    <w:p>
      <w:pPr>
        <w:pStyle w:val="ListParagraph"/>
        <w:numPr>
          <w:ilvl w:val="0"/>
          <w:numId w:val="3"/>
        </w:numPr>
      </w:pPr>
      <w:r>
        <w:t xml:space="preserve">Implement Android Keystore with EncryptedSharedPreferences</w:t>
      </w:r>
    </w:p>
    <w:p>
      <w:pPr>
        <w:pStyle w:val="ListParagraph"/>
        <w:numPr>
          <w:ilvl w:val="0"/>
          <w:numId w:val="3"/>
        </w:numPr>
      </w:pPr>
      <w:r>
        <w:t xml:space="preserve">Add screen capture prevention (FLAG_SECURE, secureContentView)</w:t>
      </w:r>
    </w:p>
    <w:p>
      <w:pPr>
        <w:pStyle w:val="ListParagraph"/>
        <w:numPr>
          <w:ilvl w:val="0"/>
          <w:numId w:val="3"/>
        </w:numPr>
      </w:pPr>
      <w:r>
        <w:t xml:space="preserve">Implement app backgrounding blur overlay</w:t>
      </w:r>
    </w:p>
    <w:p>
      <w:pPr>
        <w:pStyle w:val="ListParagraph"/>
        <w:numPr>
          <w:ilvl w:val="0"/>
          <w:numId w:val="3"/>
        </w:numPr>
      </w:pPr>
      <w:r>
        <w:t xml:space="preserve">Validate all deep link parameters before processing</w:t>
      </w:r>
    </w:p>
    <w:p>
      <w:pPr>
        <w:pStyle w:val="ListParagraph"/>
        <w:numPr>
          <w:ilvl w:val="0"/>
          <w:numId w:val="3"/>
        </w:numPr>
      </w:pPr>
      <w:r>
        <w:t xml:space="preserve">Implement Universal Links (iOS) and App Links (Android)</w:t>
      </w:r>
    </w:p>
    <w:p>
      <w:pPr>
        <w:spacing w:before="200"/>
      </w:pPr>
      <w:r>
        <w:rPr>
          <w:b/>
          <w:bCs/>
          <w:color w:val="DD6B20"/>
        </w:rPr>
        <w:t xml:space="preserve">API Security</w:t>
      </w:r>
    </w:p>
    <w:p>
      <w:pPr>
        <w:pStyle w:val="ListParagraph"/>
        <w:numPr>
          <w:ilvl w:val="0"/>
          <w:numId w:val="3"/>
        </w:numPr>
      </w:pPr>
      <w:r>
        <w:t xml:space="preserve">Validate Express CORS uses explicit allowlist (no '*' with credentials)</w:t>
      </w:r>
    </w:p>
    <w:p>
      <w:pPr>
        <w:pStyle w:val="ListParagraph"/>
        <w:numPr>
          <w:ilvl w:val="0"/>
          <w:numId w:val="3"/>
        </w:numPr>
      </w:pPr>
      <w:r>
        <w:t xml:space="preserve">Implement helmet middleware for security headers</w:t>
      </w:r>
    </w:p>
    <w:p>
      <w:pPr>
        <w:pStyle w:val="ListParagraph"/>
        <w:numPr>
          <w:ilvl w:val="0"/>
          <w:numId w:val="3"/>
        </w:numPr>
      </w:pPr>
      <w:r>
        <w:t xml:space="preserve">Add rate limiting for Cloud Functions</w:t>
      </w:r>
    </w:p>
    <w:p>
      <w:pPr>
        <w:pStyle w:val="ListParagraph"/>
        <w:numPr>
          <w:ilvl w:val="0"/>
          <w:numId w:val="3"/>
        </w:numPr>
      </w:pPr>
      <w:r>
        <w:t xml:space="preserve">Sanitize error responses in production (no stack traces)</w:t>
      </w:r>
    </w:p>
    <w:p>
      <w:pPr>
        <w:pStyle w:val="ListParagraph"/>
        <w:numPr>
          <w:ilvl w:val="0"/>
          <w:numId w:val="3"/>
        </w:numPr>
      </w:pPr>
      <w:r>
        <w:t xml:space="preserve">Implement Zod validation for all API inputs</w:t>
      </w:r>
    </w:p>
    <w:p>
      <w:pPr>
        <w:pStyle w:val="Heading2"/>
      </w:pPr>
      <w:r>
        <w:t xml:space="preserve">Medium Severity (Execute Within One Month)</w:t>
      </w:r>
    </w:p>
    <w:p>
      <w:pPr>
        <w:spacing w:before="200"/>
      </w:pPr>
      <w:r>
        <w:rPr>
          <w:b/>
          <w:bCs/>
          <w:color w:val="D69E2E"/>
        </w:rPr>
        <w:t xml:space="preserve">AI Code Review Patterns</w:t>
      </w:r>
    </w:p>
    <w:p>
      <w:pPr>
        <w:pStyle w:val="ListParagraph"/>
        <w:numPr>
          <w:ilvl w:val="0"/>
          <w:numId w:val="3"/>
        </w:numPr>
      </w:pPr>
      <w:r>
        <w:t xml:space="preserve">Configure Semgrep with React/TypeScript rules</w:t>
      </w:r>
    </w:p>
    <w:p>
      <w:pPr>
        <w:pStyle w:val="ListParagraph"/>
        <w:numPr>
          <w:ilvl w:val="0"/>
          <w:numId w:val="3"/>
        </w:numPr>
      </w:pPr>
      <w:r>
        <w:t xml:space="preserve">Enable ESLint security plugin for all generated code</w:t>
      </w:r>
    </w:p>
    <w:p>
      <w:pPr>
        <w:pStyle w:val="ListParagraph"/>
        <w:numPr>
          <w:ilvl w:val="0"/>
          <w:numId w:val="3"/>
        </w:numPr>
      </w:pPr>
      <w:r>
        <w:t xml:space="preserve">Establish AI-code-specific review checklist for PRs</w:t>
      </w:r>
    </w:p>
    <w:p>
      <w:pPr>
        <w:pStyle w:val="ListParagraph"/>
        <w:numPr>
          <w:ilvl w:val="0"/>
          <w:numId w:val="3"/>
        </w:numPr>
      </w:pPr>
      <w:r>
        <w:t xml:space="preserve">Flag all AI-generated code touching health data for manual security review</w:t>
      </w:r>
    </w:p>
    <w:p>
      <w:pPr>
        <w:pStyle w:val="ListParagraph"/>
        <w:numPr>
          <w:ilvl w:val="0"/>
          <w:numId w:val="3"/>
        </w:numPr>
      </w:pPr>
      <w:r>
        <w:t xml:space="preserve">Check for hardcoded credentials in AI suggestions</w:t>
      </w:r>
    </w:p>
    <w:p>
      <w:pPr>
        <w:pStyle w:val="ListParagraph"/>
        <w:numPr>
          <w:ilvl w:val="0"/>
          <w:numId w:val="3"/>
        </w:numPr>
      </w:pPr>
      <w:r>
        <w:t xml:space="preserve">Verify AI-generated input validation is complete (not just type checks)</w:t>
      </w:r>
    </w:p>
    <w:p>
      <w:pPr>
        <w:spacing w:before="200"/>
      </w:pPr>
      <w:r>
        <w:rPr>
          <w:b/>
          <w:bCs/>
          <w:color w:val="D69E2E"/>
        </w:rPr>
        <w:t xml:space="preserve">OpenAI API Security</w:t>
      </w:r>
    </w:p>
    <w:p>
      <w:pPr>
        <w:pStyle w:val="ListParagraph"/>
        <w:numPr>
          <w:ilvl w:val="0"/>
          <w:numId w:val="3"/>
        </w:numPr>
      </w:pPr>
      <w:r>
        <w:t xml:space="preserve">Implement prompt injection detection layer</w:t>
      </w:r>
    </w:p>
    <w:p>
      <w:pPr>
        <w:pStyle w:val="ListParagraph"/>
        <w:numPr>
          <w:ilvl w:val="0"/>
          <w:numId w:val="3"/>
        </w:numPr>
      </w:pPr>
      <w:r>
        <w:t xml:space="preserve">Use structured prompts separating system/user content</w:t>
      </w:r>
    </w:p>
    <w:p>
      <w:pPr>
        <w:pStyle w:val="ListParagraph"/>
        <w:numPr>
          <w:ilvl w:val="0"/>
          <w:numId w:val="3"/>
        </w:numPr>
      </w:pPr>
      <w:r>
        <w:t xml:space="preserve">Validate LLM outputs for sensitive data leakage</w:t>
      </w:r>
    </w:p>
    <w:p>
      <w:pPr>
        <w:pStyle w:val="ListParagraph"/>
        <w:numPr>
          <w:ilvl w:val="0"/>
          <w:numId w:val="3"/>
        </w:numPr>
      </w:pPr>
      <w:r>
        <w:t xml:space="preserve">Implement per-user rate limiting</w:t>
      </w:r>
    </w:p>
    <w:p>
      <w:pPr>
        <w:pStyle w:val="ListParagraph"/>
        <w:numPr>
          <w:ilvl w:val="0"/>
          <w:numId w:val="3"/>
        </w:numPr>
      </w:pPr>
      <w:r>
        <w:t xml:space="preserve">Set up cost alerting and usage monitoring</w:t>
      </w:r>
    </w:p>
    <w:p>
      <w:pPr>
        <w:pStyle w:val="ListParagraph"/>
        <w:numPr>
          <w:ilvl w:val="0"/>
          <w:numId w:val="3"/>
        </w:numPr>
      </w:pPr>
      <w:r>
        <w:t xml:space="preserve">Configure API key rotation automation</w:t>
      </w:r>
    </w:p>
    <w:p>
      <w:pPr>
        <w:spacing w:before="200"/>
      </w:pPr>
      <w:r>
        <w:rPr>
          <w:b/>
          <w:bCs/>
          <w:color w:val="D69E2E"/>
        </w:rPr>
        <w:t xml:space="preserve">FTC HBNR Incident Response Preparation</w:t>
      </w:r>
    </w:p>
    <w:p>
      <w:pPr>
        <w:pStyle w:val="ListParagraph"/>
        <w:numPr>
          <w:ilvl w:val="0"/>
          <w:numId w:val="3"/>
        </w:numPr>
      </w:pPr>
      <w:r>
        <w:t xml:space="preserve">Create breach notification templates (individual, FTC, media)</w:t>
      </w:r>
    </w:p>
    <w:p>
      <w:pPr>
        <w:pStyle w:val="ListParagraph"/>
        <w:numPr>
          <w:ilvl w:val="0"/>
          <w:numId w:val="3"/>
        </w:numPr>
      </w:pPr>
      <w:r>
        <w:t xml:space="preserve">Implement comprehensive audit logging</w:t>
      </w:r>
    </w:p>
    <w:p>
      <w:pPr>
        <w:pStyle w:val="ListParagraph"/>
        <w:numPr>
          <w:ilvl w:val="0"/>
          <w:numId w:val="3"/>
        </w:numPr>
      </w:pPr>
      <w:r>
        <w:t xml:space="preserve">Document all third-party data sharing agreements</w:t>
      </w:r>
    </w:p>
    <w:p>
      <w:pPr>
        <w:pStyle w:val="ListParagraph"/>
        <w:numPr>
          <w:ilvl w:val="0"/>
          <w:numId w:val="3"/>
        </w:numPr>
      </w:pPr>
      <w:r>
        <w:t xml:space="preserve">Establish user notification preference collection (email vs mail)</w:t>
      </w:r>
    </w:p>
    <w:p>
      <w:pPr>
        <w:pStyle w:val="ListParagraph"/>
        <w:numPr>
          <w:ilvl w:val="0"/>
          <w:numId w:val="3"/>
        </w:numPr>
      </w:pPr>
      <w:r>
        <w:t xml:space="preserve">Train team on breach identification and 60-day notification timeline</w:t>
      </w:r>
    </w:p>
    <w:p>
      <w:pPr>
        <w:pStyle w:val="ListParagraph"/>
        <w:numPr>
          <w:ilvl w:val="0"/>
          <w:numId w:val="3"/>
        </w:numPr>
      </w:pPr>
      <w:r>
        <w:t xml:space="preserve">Document incident response escalation procedures</w:t>
      </w:r>
    </w:p>
    <w:p>
      <w:pPr>
        <w:spacing w:before="200"/>
      </w:pPr>
      <w:r>
        <w:rPr>
          <w:b/>
          <w:bCs/>
          <w:color w:val="D69E2E"/>
        </w:rPr>
        <w:t xml:space="preserve">TypeScript Security Patterns</w:t>
      </w:r>
    </w:p>
    <w:p>
      <w:pPr>
        <w:pStyle w:val="ListParagraph"/>
        <w:numPr>
          <w:ilvl w:val="0"/>
          <w:numId w:val="3"/>
        </w:numPr>
      </w:pPr>
      <w:r>
        <w:t xml:space="preserve">Enable strict mode in tsconfig.json (strict: true, noImplicitAny: true)</w:t>
      </w:r>
    </w:p>
    <w:p>
      <w:pPr>
        <w:pStyle w:val="ListParagraph"/>
        <w:numPr>
          <w:ilvl w:val="0"/>
          <w:numId w:val="3"/>
        </w:numPr>
      </w:pPr>
      <w:r>
        <w:t xml:space="preserve">Replace all 'any' types at API boundaries with Zod schemas</w:t>
      </w:r>
    </w:p>
    <w:p>
      <w:pPr>
        <w:pStyle w:val="ListParagraph"/>
        <w:numPr>
          <w:ilvl w:val="0"/>
          <w:numId w:val="3"/>
        </w:numPr>
      </w:pPr>
      <w:r>
        <w:t xml:space="preserve">Audit all type assertions ('as Type') for runtime safety</w:t>
      </w:r>
    </w:p>
    <w:p>
      <w:pPr>
        <w:pStyle w:val="ListParagraph"/>
        <w:numPr>
          <w:ilvl w:val="0"/>
          <w:numId w:val="3"/>
        </w:numPr>
      </w:pPr>
      <w:r>
        <w:t xml:space="preserve">Implement runtime validation for all external data</w:t>
      </w:r>
    </w:p>
    <w:p>
      <w:r>
        <w:br w:type="page"/>
      </w:r>
    </w:p>
    <w:p>
      <w:pPr>
        <w:pStyle w:val="Heading1"/>
      </w:pPr>
      <w:r>
        <w:t xml:space="preserve">Part 6: Manual Review Guidelines for AI-Generated Code</w:t>
      </w:r>
    </w:p>
    <w:p>
      <w:pPr>
        <w:spacing w:after="200"/>
      </w:pPr>
      <w:r>
        <w:t xml:space="preserve">When reviewing AI-generated code handling health data or authentication, apply these checks in addition to automated scanning:</w:t>
      </w:r>
    </w:p>
    <w:p>
      <w:pPr>
        <w:pStyle w:val="ListParagraph"/>
        <w:numPr>
          <w:ilvl w:val="0"/>
          <w:numId w:val="4"/>
        </w:numPr>
      </w:pPr>
      <w:r>
        <w:rPr>
          <w:b/>
          <w:bCs/>
        </w:rPr>
        <w:t xml:space="preserve">Verify input validation completeness: </w:t>
      </w:r>
      <w:r>
        <w:t xml:space="preserve">AI often generates type-only validation; ensure Zod schemas cover all edge cases including string length limits, format validation, and business rules.</w:t>
      </w:r>
    </w:p>
    <w:p>
      <w:pPr>
        <w:pStyle w:val="ListParagraph"/>
        <w:numPr>
          <w:ilvl w:val="0"/>
          <w:numId w:val="4"/>
        </w:numPr>
      </w:pPr>
      <w:r>
        <w:rPr>
          <w:b/>
          <w:bCs/>
        </w:rPr>
        <w:t xml:space="preserve">Check authentication context: </w:t>
      </w:r>
      <w:r>
        <w:t xml:space="preserve">Verify request.auth.uid checks exist for all Firestore operations; AI frequently omits ownership verification.</w:t>
      </w:r>
    </w:p>
    <w:p>
      <w:pPr>
        <w:pStyle w:val="ListParagraph"/>
        <w:numPr>
          <w:ilvl w:val="0"/>
          <w:numId w:val="4"/>
        </w:numPr>
      </w:pPr>
      <w:r>
        <w:rPr>
          <w:b/>
          <w:bCs/>
        </w:rPr>
        <w:t xml:space="preserve">Audit hardcoded values: </w:t>
      </w:r>
      <w:r>
        <w:t xml:space="preserve">AI commonly generates placeholder credentials, API keys, or configuration that should be environment variables.</w:t>
      </w:r>
    </w:p>
    <w:p>
      <w:pPr>
        <w:pStyle w:val="ListParagraph"/>
        <w:numPr>
          <w:ilvl w:val="0"/>
          <w:numId w:val="4"/>
        </w:numPr>
      </w:pPr>
      <w:r>
        <w:rPr>
          <w:b/>
          <w:bCs/>
        </w:rPr>
        <w:t xml:space="preserve">Review error handling: </w:t>
      </w:r>
      <w:r>
        <w:t xml:space="preserve">Ensure no health data or stack traces leak in error responses; AI defaults to verbose errors.</w:t>
      </w:r>
    </w:p>
    <w:p>
      <w:pPr>
        <w:pStyle w:val="ListParagraph"/>
        <w:numPr>
          <w:ilvl w:val="0"/>
          <w:numId w:val="4"/>
        </w:numPr>
      </w:pPr>
      <w:r>
        <w:rPr>
          <w:b/>
          <w:bCs/>
        </w:rPr>
        <w:t xml:space="preserve">Validate cryptographic implementations: </w:t>
      </w:r>
      <w:r>
        <w:t xml:space="preserve">AI frequently suggests deprecated or weak crypto; verify AES-256, TLS 1.2+, and proper key management.</w:t>
      </w:r>
    </w:p>
    <w:p>
      <w:pPr>
        <w:pStyle w:val="ListParagraph"/>
        <w:numPr>
          <w:ilvl w:val="0"/>
          <w:numId w:val="4"/>
        </w:numPr>
      </w:pPr>
      <w:r>
        <w:rPr>
          <w:b/>
          <w:bCs/>
        </w:rPr>
        <w:t xml:space="preserve">Check for deprecated dependencies: </w:t>
      </w:r>
      <w:r>
        <w:t xml:space="preserve">AI may suggest outdated packages with known vulnerabilities; cross-reference with npm audit.</w:t>
      </w:r>
    </w:p>
    <w:p>
      <w:r>
        <w:br w:type="page"/>
      </w:r>
    </w:p>
    <w:p>
      <w:pPr>
        <w:pStyle w:val="Heading1"/>
      </w:pPr>
      <w:r>
        <w:t xml:space="preserve">Conclusion</w:t>
      </w:r>
    </w:p>
    <w:p>
      <w:pPr>
        <w:spacing w:after="200"/>
      </w:pPr>
      <w:r>
        <w:t xml:space="preserve">The intersection of AI-generated code vulnerabilities and FTC Health Breach Notification requirements creates a uniquely challenging security environment. Your application's success depends on executing the critical items—particularly dependency patches and encryption of health data—before any security incident occurs.</w:t>
      </w:r>
    </w:p>
    <w:p>
      <w:pPr>
        <w:spacing w:after="200"/>
      </w:pPr>
      <w:r>
        <w:t xml:space="preserve">The automated tooling stack of Semgrep, ESLint security plugins, GitGuardian, and Firebase Emulator testing provides baseline protection, but AI-generated code handling health data requires mandatory manual review until the industry's 45% security failure rate improves.</w:t>
      </w:r>
    </w:p>
    <w:p>
      <w:pPr>
        <w:spacing w:after="200"/>
      </w:pPr>
      <w:r>
        <w:rPr>
          <w:b/>
          <w:bCs/>
        </w:rPr>
        <w:t xml:space="preserve">Key Actions:</w:t>
      </w:r>
    </w:p>
    <w:p>
      <w:pPr>
        <w:pStyle w:val="ListParagraph"/>
        <w:numPr>
          <w:ilvl w:val="0"/>
          <w:numId w:val="2"/>
        </w:numPr>
      </w:pPr>
      <w:r>
        <w:t xml:space="preserve">Configure pre-commit hooks for secret detection immediately</w:t>
      </w:r>
    </w:p>
    <w:p>
      <w:pPr>
        <w:pStyle w:val="ListParagraph"/>
        <w:numPr>
          <w:ilvl w:val="0"/>
          <w:numId w:val="2"/>
        </w:numPr>
      </w:pPr>
      <w:r>
        <w:t xml:space="preserve">Establish CI/CD gates blocking critical/high vulnerability findings</w:t>
      </w:r>
    </w:p>
    <w:p>
      <w:pPr>
        <w:pStyle w:val="ListParagraph"/>
        <w:numPr>
          <w:ilvl w:val="0"/>
          <w:numId w:val="2"/>
        </w:numPr>
      </w:pPr>
      <w:r>
        <w:t xml:space="preserve">Treat every AI suggestion touching authentication or health data as requiring explicit security signoff</w:t>
      </w:r>
    </w:p>
    <w:p>
      <w:pPr>
        <w:pStyle w:val="ListParagraph"/>
        <w:numPr>
          <w:ilvl w:val="0"/>
          <w:numId w:val="2"/>
        </w:numPr>
      </w:pPr>
      <w:r>
        <w:t xml:space="preserve">Encrypt all health data at rest to eliminate breach notification requirements for encrypted data</w:t>
      </w:r>
    </w:p>
    <w:p>
      <w:pPr>
        <w:pStyle w:val="ListParagraph"/>
        <w:numPr>
          <w:ilvl w:val="0"/>
          <w:numId w:val="2"/>
        </w:numPr>
      </w:pPr>
      <w:r>
        <w:t xml:space="preserve">Prepare FTC HBNR incident response plan with 60-day notification timeline</w:t>
      </w:r>
    </w:p>
    <w:p>
      <w:pPr>
        <w:spacing w:before="400" w:after="200"/>
        <w:jc w:val="center"/>
      </w:pPr>
      <w:r>
        <w:rPr>
          <w:i/>
          <w:iCs/>
          <w:color w:val="666666"/>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color w:val="666666"/>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LumiMD Security Audit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c5282"/>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b6cb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2026-01-12T16:45:37.400Z</dcterms:created>
  <dcterms:modified xsi:type="dcterms:W3CDTF">2026-01-12T16:45:37.400Z</dcterms:modified>
</cp:coreProperties>
</file>

<file path=docProps/custom.xml><?xml version="1.0" encoding="utf-8"?>
<Properties xmlns="http://schemas.openxmlformats.org/officeDocument/2006/custom-properties" xmlns:vt="http://schemas.openxmlformats.org/officeDocument/2006/docPropsVTypes"/>
</file>