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3-Statement Financial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Model Engine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3B82F6"/>
          <w:sz w:val="16"/>
          <w:szCs w:val="16"/>
        </w:rPr>
        <w:t xml:space="preserve">━━━━━━━━━━━━━━━━━━━━━━━━━━━━━━━━━━━━━━━━━━━━━━━━━━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B7280"/>
          <w:sz w:val="28"/>
          <w:szCs w:val="28"/>
        </w:rPr>
        <w:t xml:space="preserve">Complete Technical Overview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Framework: Next.js 16 + React 19 + TypeScript 5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Engine: 7 calculation modules incl. DCF, Valuation, Circular Resolver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Export: Excel (9 tabs, live formulas) · PDF · CSV · JSON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Analysis: Monte Carlo · Sensitivity · Scenario Comparison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Valuation: DCF (WACC/CAPM) · Trading Multiples · EGX 30 Benchmarks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Localization: English / Arabic · Egyptian Market · CBE Metrics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27 UI Components · 19 Navigation Tabs · Zustand State Management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Generated: March 9,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Table of Contents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Technology Stack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Project Structure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Type System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Engine Layer (7 modules)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Financial Ratios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Analysis Tools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State Management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Export Layer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Internationalization &amp; Egyptian Localization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10.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Utility Functions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UI Components (27 total)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Navigation &amp; Tab System (19 tabs)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Data Flow Architecture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Key Design Decisions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Known Limitations &amp; Planned Improvements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Next.js (Turbopack)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16.1.6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Language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TypeScript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React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19.2.3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State Management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Zustand (persist middleware)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5.0.11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Charts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Recharts + D3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3.7 / 7.9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 Export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jsPDF + AutoTable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4.1 / 5.0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Zod + TypeBox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4.3 / 0.34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Tailwind CSS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 Library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15.1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2. Project Structure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3_Statement_Model_Engine/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app/                        # Next.js app router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page.tsx                # Main page (tab router)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layout.tsx              # Root layout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globals.css             # Design system (8.9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types/                      # TypeScript interfaces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assumptions.ts          # AssumptionSet (60+ fields), HistoricalInputs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financial.ts            # IS, BS, CF, Ratios, IntegrationChecks, ModelResults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historical.ts           # HistoricalDataInput, converters, validators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scenario.ts             # Scenario, ModelState, Monte Carlo types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lib/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engines/                # Core calculation engine (7 modules)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income-statement.ts # Revenue → Net Income waterfall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balance-sheet.ts    # All asset/liability/equity calculations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cash-flow.ts        # Indirect method CF generation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circular-resolver.ts# Iterative solver + 16 integration checks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integrator.ts       # Master orchestrator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dcf.ts              # DCF valuation (WACC/CAPM/Gordon Growth)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valuation.ts        # Trading multiples + EGX 30 benchmarks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export/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excel.ts            # 9-tab Excel workbook (103 KB of formulas)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pdf.ts              # Multi-page PDF report (49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csv-json.ts         # CSV + JSON data export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store.ts                # Zustand store (16 KB, 15+ actions)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ratios.ts               # 23 financial ratios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monte-carlo.ts          # Monte Carlo simulation (4 distributions)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sensitivity.ts          # 1-way and 2-way sensitivity analysis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scenario-manager.ts     # Scenario CRUD + comparison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scenarios.ts            # Pre-defined scenario definitions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i18n/labels.ts          # Bilingual labels (English / Arabic)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templates/egyptian-industries.ts  # 5 sector-specific assumption templates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schedules/egyptian-depreciation.ts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utils.ts                # Multi-currency formatting utilities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└── components/                 # 27 React UI components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Dashboard, Sidebar, ModelPage, ValidationPage, ...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DCFPage, ValuationPage, CBEMetricsPage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ErrorBanner, ConflictModal            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charts/ (RevenueChart, MarginChart)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statements/ (IS, BS, CF pages)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└── schedules/ (WorkingCapital, Depreciation, Debt)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3. Type System (types/)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3.1 AssumptionSet (assumptions.ts) — 90+ fields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main projection configuration organized by category. Fields marked with [] are per-projection-year arrays: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1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79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revenueBase, revenueGrowthRate[]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Margins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cogsPercent[], sgaPercent[], rdPercent[], otherOpexPercent[]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dso[], dio[], dpo[], prepaidPercent[], accruedExpPercent[], deferredRevPercent[]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 &amp; Depr.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capexPercent[], depreciationRate[], amortizationAmount[], depreciationMethod (straight-line|declining-balance|egyptian-tax)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&amp; Financing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cbeRate (27.25%), interestRateOnDebt[] ([22%,22%,20%,18%,18%]), interestRateOnCash[], legacyDebtRate (4.5%), shortTermDebtAmount[], longTermDebtIssuance[], longTermDebtRepayment[], currentPortionLTD[]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Equity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sharesOutstanding[], dividendPayoutRatio[], shareRepurchaseAmount[], stockBasedCompAmount[], commonStock[], apic[], oci[], equityIssuance[]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&amp; Regime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taxRate[] (default 22.5%), taxRegime (standard|oil|strategic|sme), enableVAT, vatRate (14%)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Employee Profit Sharing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employeeProfitSharingRate (10%), enableEmployeeProfitShare, totalAnnualPayroll (EPD cap)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Carryforward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enableTaxLossCarryforward, taxLossCarryforwardYears (5) — Tax Law Art. 29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Legal Reserve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enableLegalReserve, legalReservePercent (5%), paidUpCapital, legalReserveCap (50%), initialLegalReserve — Companies Law Art. 40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 WHT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dividendWithholdingTaxRate (10% unlisted / 5% EGX-listed), isEGXListed — Law 30/2023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 of Service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enableEndOfServiceBenefit, averageMonthlyBasicSalary, numberOfEmployees[] — Labor Law + EAS 38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/ Valuation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riskFreeRate (20%), beta (1.0), equityRiskPremium (10.5%), terminalGrowthRate (7%), sharePrice (optional)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Inflation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inflationRate[] ([25%,18%,14%,10%,8%]), linkRevenueToInflation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Sector Preset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sectorPreset (technology|manufacturing|retail|government-contractor|export-oriented|real-estate|custom)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Mix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assetMix.buildings (30%), .machinery (35%), .vehicles (15%), .computers (10%), .furniture (10%)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 Preset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countryPreset, useEgyptianRates, dividendWithholdingRate, fiscalYearEnd, fiscalYearPreset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BS Items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goodwill[], otherLongTermAssets[], otherCurrentAssets[], otherCurrentLiabilities[], deferredTaxLiabilities[], otherLongTermLiabilities[]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Investing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acquisitions[], assetSales[], investmentPurchases[], investmentSales[]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Config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projectionYears (5), historicalYears (2), startYear (2026), fiscalYearEnd (6=June)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getDefaultAssumptions() → Egyptian-market defaults with CBE-linked rates. getDefaultHistoricalInputs() → 2-period (2024/2025) balanced demo data with RE calculated as plug.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3.2 Financial Statement Interfaces (financial.ts)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Fields</w:t>
            </w:r>
          </w:p>
        </w:tc>
        <w:tc>
          <w:tcPr>
            <w:tcW w:type="pct" w:w="5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26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EPS waterfall, includes VAT memo fields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isBalanced check flag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+ FCF + reconciliation flag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FinancialRatios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ratios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IntegrationChecks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 booleans + details[]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Cross-statement validation results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DCFValuation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fcfProjections[], discountedFCFs[], terminalValue, pvTerminalValue, EV, netDebt, equityValue, impliedSharePrice, wacc, costOfEquity, costOfDebt, debtWeight, equityWeight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ValuationMultiples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fields (nullable)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pe, evEbitda, priceBook, fcfYield, dividendYield, marketCap, enterpriseValueMarket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EGXBenchmarks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range objects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pe/evEbitda/priceBook each with {low, high, avg} for EGX 30 benchmarks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ModelResults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Combined arrays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IS[] + BS[] + CF[] + Ratios[] + IntegrationChecks[] + ConvergenceInfo + DCFValuation? + ValuationMultiples?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3.3 Historical Data (historical.ts)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HistoricalDataInput — Per-year input object with 55+ fields, user-editable through the UI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convertToHistoricalInputs() — Bridges per-year object format → parallel array format for the engine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buildHistoricalYear() — Auto-computes derived totals (totalCurrentAssets, totalAssets, etc.) and uses retained earnings as plug so balance sheet always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validateHistoricalBalance() — Returns error string if Assets ≠ Liabilities + Equity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3.4 Scenario &amp; Analysis Types (scenario.ts)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ModelState — Global application state interface: company info, 15 navigation tabs, undo/redo stacks, errors/warnings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— { id, name, type, assumptions, results, createdAt, updatedAt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ScenarioType — 'base' | 'optimistic' | 'conservative' | 'custom'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Distribution — { type: normal|uniform|triangular|lognormal, params: {mean, stdDev, min, max, mode}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MonteCarloConfig — iterations count, variable-to-distribution map, output metrics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MonteCarloResult — values array + statistics (mean, median, stdDev, p10/p25/p50/p75/p90, min, max)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4. Engine Layer (lib/engines/)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4.1 Income Statement Engine (income-statement.ts)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calculateIncomeStatement(inputs) builds a single projected IS using the waterfall: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 = previousRevenue × (1 + growthRate)     ← ALWAYS chains from prior period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COGS = Revenue × cogsPercent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Gross Profit = Revenue − COGS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SG&amp;A = Revenue × sgaPercent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R&amp;D = Revenue × rdPercent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 = from PP&amp;E schedule (passed in from circular resolver)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Amortization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OpEx = Revenue × otherOpexPercent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SBC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Total OpEx = SG&amp;A + R&amp;D + D&amp;A + Other + SBC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 = Gross Profit − Total OpEx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EBITDA = EBIT + Depreciation +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Income = from average cash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Expense = from average debt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Income/Expense =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EBT = EBIT + Interest Income − Interest Expense + Other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 = max(0, EBT ×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Income = EBT − Tax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EPS = Net Income / Shares Outstanding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Also supports VAT memo fields for Egyptian market: revenueInclVAT, revenueExclVAT, vatCollected (only when enableVAT is true).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buildHistoricalIncomeStatements() constructs IS array from raw historical data arrays, computing growth rates from period-over-period changes.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4.2 Balance Sheet Engine (balance-sheet.ts)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calculateBalanceSheet(inputs) builds a single projected BS. Every item is derived from assumptions or the income statement: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Balance Sheet Item</w:t>
            </w:r>
          </w:p>
        </w:tc>
        <w:tc>
          <w:tcPr>
            <w:tcW w:type="pct" w:w="7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Calculation Formula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Receivable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DSO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Inventory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DIO / 365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Prepaid Expenses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prepaidPercent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Current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otherCAPercent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Cash + AR + Inventory + Prepaid + OCA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Gross PP&amp;E + CapEx (Revenue × capexPercent)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Accumulated Depreciation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Accum Dep + Current Depreciation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− Accumulated Depreciation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Intangibles / Goodwill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 (fixed amounts)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Long-Term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× otherLTAPercent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Payable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DPO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Accrued Expenses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accruedExpPercent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Revenue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deferredRevPercent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Short-Term Debt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Long-Term Debt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LTD + Issuance − Repayment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Tax Liabilities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Liabilities × deferredTaxLiabilityPercent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RE + Net Income − Dividends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APIC + SBC + Equity Issuance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Treasury Stock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Treasury − Share Repurchases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&amp; Equivalents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PLUG → Total L+E − all other assets (ensures A = L+E)</w:t>
            </w:r>
          </w:p>
        </w:tc>
      </w:tr>
    </w:tbl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Cash is the balancing "plug" item: Cash = Total Liabilities + Equity − all other asset items. This guarantees the balance sheet always balances.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Helper functions provided: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calculateDepreciation(previousGrossPPE, capex, depreciationRate) — straight-line on gross PP&amp;E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calculateInterestExpense(beginDebt, endDebt, interestRate) — based on average debt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calculateInterestIncome(beginCash, endCash, interestIncomeRate) — based on average cash balance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4.3 Cash Flow Statement Engine (cash-flow.ts) — Indirect Method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calculateCashFlow(inputs) derives the cash flow from the income statement and balance sheet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OPERATING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Net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Depreciation &amp;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Stock-Based Compensation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Deferred Tax Changes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Working Capital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Accounts Receivable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Inventory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Prepaid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Accounts Payable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Accrued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Deferred Revenue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Operations (CFO)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INVESTING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Capital Expenditures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Acquisitions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Asset Sales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Investing (CFI)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FINANCING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Debt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Debt Repayment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Dividends Paid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Equity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Share Repurchases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Financing (CFF)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Change in Cash = CFO + CFI + CFF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Free Cash Flow = CFO − CapEx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Ending Cash = Beginning Cash + Net Change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Reconciles? = |Ending Cash − BS Cash| &lt; 0.01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Reconciliation utility (cash-flow-indirect.ts): Provides validateAllReconciliations() which checks that CF ending cash matches BS cash within $0.01 for every period. Re-exports the core CF engine functions.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4.4 Circular Resolver (circular-resolver.ts) — THE HEART OF THE ENGINE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This module resolves the fundamental circular dependency in a 3-statement model: Interest ↔ Cash ↔ Cash Flow ↔ Net Income ↔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resolveCircularReferences(assumptions, yearIndex, prevIS, prevBS) operates as follows: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Starts with initial estimates: interestIncome = 0, interestExpense =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Iterates up to 100 times (configurable, tolerance = 0.01):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Depreciation from PP&amp;E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Expense from average total debt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Income from average cash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Income Statement with these inputs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Balance Sheet (cash = plug)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Cash Flow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Check convergence: delta = |new interest values − old interest values|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If delta &lt; tolerance → converged ✓, exit loop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Returns { incomeStatement, balanceSheet, cashFlow, converged, iterations, finalDelta }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16 Integration Checks (validateIntegration)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After convergence, the engine validates cross-statement consistency with 16 checks: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 Name</w:t>
            </w:r>
          </w:p>
        </w:tc>
        <w:tc>
          <w:tcPr>
            <w:tcW w:type="pct" w:w="6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Validation Formula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 Balance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= Total Liabilities +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Ties to CF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Ending Cash ≈ BS Cash (within 0.01)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Income Flows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Net Income = CF Net Income (starting point)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PP&amp;E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 = Gross PP&amp;E − Accumulated Depreciation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 Flow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 = Prior RE + Net Income − Dividends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LTD = Prior LTD + Issuance − Repayment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Reconciliation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Ending Cash = Beginning Cash + Net Change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changes consistent with BS deltas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CA items = TCA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Assets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NCA items = TNCA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Liabilities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CL items = TCL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Liabilities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NCL items = TNCL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Equity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equity components = Total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Waterfall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COGS → Gross Profit → OpEx → EBIT → Tax → NI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Identity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= EBIT + Depreciation + Amortization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Consistency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= Prior APIC + SBC + Equity Issuance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4.5 Integrator (integrator.ts) — Master Orchestrator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runFullModel(assumptions, historicalInputs) is the top-level function that runs the entire model: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1: Build historical Income Statements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2: Build historical Balance Sheets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3: Build historical Cash Flows from IS/BS period-over-period changes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4: For each projection year (0 to projectionYears-1):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Get previous period IS and BS (historical for yr=0, prior projected otherwise)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resolveCircularReferences() for this year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validateIntegration() and store results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Track convergence statistics (total iterations, max delta)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5: Combine historical + projected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6: Calculate financial ratios for all periods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7: Return ModelResults { IS[], BS[], CF[], Ratios[], IntegrationChecks[], ConvergenceInfo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getModelSummary(results) extracts key metrics: revenue, EBITDA, NI, EPS, FCF, total debt, cash, average growth, average margin, and convergence status.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4.6 DCF Valuation Engine (dcf.ts)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intrinsic value using Discounted Cash Flow with WACC derived from CAPM and Egyptian market inputs.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calculateWACC(assumptions,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Equity (CAPM): ke = CBE_Rate + β × Equity_Risk_Premium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Default: 0.2725 + 1.0 × 0.07 = 34.25%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Debt (after-tax): kd = interestRate × (1 −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Capital Structure: D/(D+E) and E/(D+E) from last projected BS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WACC = E/(D+E) × ke + D/(D+E) × kd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calculateDCF(assumptions,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1. Extract projected FCFF from Income Statement memo field (is.fcff)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2. Discount each FCF: PV(FCF_i) = FCF_i / (1 + WACC)^i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3. Terminal Value (Gordon Growth): TV = FCF_n × (1+g) / (WACC − g)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where g = terminalGrowthRate (default 5%)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4. PV(TV) = TV / (1 + WACC)^n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5. Enterprise Value = Sum(PV of FCFs) + PV(TV)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6. Equity Bridge: Equity Value = EV − Net Debt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Net Debt = (ST Debt + LT Debt + Current LTD) − Cash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7. Implied Share Price = Equity Value / Shares Outstanding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Returns DCFValuation with 13 fields: fcfProjections, discountedFCFs, terminalValue, pvTerminalValue, enterpriseValue, netDebt, equityValue, impliedSharePrice, wacc, costOfEquity, costOfDebt, debtWeight, equityWeight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4.7 Valuation Multiples Engine (valuation.ts)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calculateMultiples(results, assumptions)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trading multiples from engine results + optional share price. Returns null values if sharePrice is not provided.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7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EPS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(Market Cap + Net Debt) / EBITDA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(Total Equity / Shares)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Yield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/ Market Cap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 Yield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DPS / Share Price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calculateImpliedPrices(results, benchmarks)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implied share prices from EGX 30 benchmarks: fromPE (avg P/E × EPS), fromEVEBITDA (avg EV/EBITDA × EBITDA → equity → per share), fromPB (avg P/B × BVPS).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EGX 30 Benchmarks (Q1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Low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High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Average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7.5x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1.0x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2.5x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1.6x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Sector Working Capital Presets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DPO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Technology / Software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Manufacturing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Retail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Government Contractor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Export-Oriented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Real Estate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5. Financial Ratios (ratios.ts)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calculateFinancialRatios(is, bs, prevBS) and enrichRatios() compute 35+ ratios: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Ratios</w:t>
            </w:r>
          </w:p>
        </w:tc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Margin, Operating Margin, Net Margin, ROE, ROA, ROIC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ROE/ROA use average balances; ROIC = NOPAT / avg invested capital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Liquidity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Ratio, Quick Ratio, Cash Ratio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Standard formulas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Leverage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Debt-to-Equity, Debt-to-Assets, Interest Coverage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Debt = ST + LT + Current LTD; Coverage = EBIT/IntExp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Efficiency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Turnover, Inventory Turnover, Receivables Turnover, DSO, DIO, DPO, CCC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CCC = DSO + DIO − DPO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DuPont (3-Factor)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Margin × Asset Turnover × Equity Multiplier = ROE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Classic DuPont decomposition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DuPont (5-Factor)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Burden × Interest Burden × Operating Margin × Asset Turnover × Equity Multiplier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Extended DuPont with tax/interest isolation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Altman Z-Score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Z-prime model (private companies)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safe &gt; 2.9, grey 1.23–2.9, distress &lt; 1.23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Altman Z-Score EM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6.56×X1 + 3.26×X2 + 6.72×X3 + 1.05×X4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Emerging Markets model (Altman 2005): safe &gt; 2.60, grey 1.10–2.60, distress &lt; 1.10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Break-Even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Break-Even Revenue = Fixed Costs / Contribution Margin Ratio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 of Safety = (Revenue − BER) / Revenue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6. Analysis Tools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6.1 Sensitivity Analysis (sensitivity.ts)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oneWaySensitivity(baseAssumptions, historicalInputs, variable, range, outputMetric) — Varies one assumption across a range of values, runs the full model for each, and returns the output metric values. Supports array assumptions (applies sampled value uniformly).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twoWaySensitivity(..., variable1, range1, variable2, range2, outputMetric) — Varies two assumptions simultaneously, produces an NxN matrix of output values.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generateRange(baseValue, steps, stepSize) — Generates a centered range: base ± steps × stepSize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Output metrics supported: revenue, ebitda, netIncome, eps, fcf, roe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6.2 Monte Carlo Simulation (monte-carlo.ts)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4 distribution types: Normal (Box-Muller transform), Uniform, Triangular, Lognormal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runMonteCarloSimulation() — Runs N iterations (default 10,000), sampling from configured distributions, perturbing assumptions, and capturing all output metrics. Failed iterations (convergence failures) are silently skipped.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Statistics computed: mean, median, standard deviation, p10, p25, p50, p75, p90, min, max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Default config: revenue growth rate (normal μ=7%, σ=3%), COGS% (normal μ=60%, σ=3%), interest rate (uniform 3%-8%). Output metrics: netIncome, fcf, eps.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6.3 Scenario Manager (scenario-manager.ts)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3 pre-defined scenarios: Base Case (moderate growth, stable margins), Optimistic (high growth, margin expansion), Conservative (slow growth, margin pressure)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CRUD operations: createScenario(), duplicateScenario(), updateScenarioAssumption() (supports nested paths like revenueGrowthRate[0]), deleteScenario()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compareScenarios() — Returns side-by-side comparison for all calculated scenarios: revenue, EBITDA, NI, EPS, FCF, total debt, cash, ROE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7. State Management (store.ts) — 548 lines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Zustand store (v4) with localStorage persistence via zustand/middleware/persist. 20+ actions with GLOBAL_KEYS sync: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 Field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companyName, ticker, industry, currency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metadata fields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country, fiscalYearEnd, valuationDate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Localization and dating fields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historicalInputs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Array-format historical data (engine format)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objects (UI format)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All scenarios with their assumption sets and results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activeScenarioId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Currently selected scenario UUID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activeTab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navigation tab (19 possible values)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isDarkMode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Dark mode toggle state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undoStack[] / redoStack[]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 change history for undo/redo (50-entry cap)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errors[] / warnings[]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validation messages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calculationError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 message from last failed calculation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cellOverrides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 cell value overrides keyed by scenarioId_rowKey_period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dataVersion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Incremented on each recalculation for change detection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conflictDetected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Multi-tab localStorage conflict flag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sidebarOpen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 collapsed/expanded state</w:t>
            </w:r>
          </w:p>
        </w:tc>
      </w:tr>
    </w:tbl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setCompanyInfo()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company metadata (name, ticker, currency, country, fiscal year, valuation date)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setHistoricalData(data)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per-year data → auto-convert to engine format → recalculate all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updateAssumption(path, 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any assumption; handles array indexing like revenueGrowthRate[0]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addScenario() / deleteScenario()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Create or remove scenarios (min 1 scenario enforced)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duplicateScenario(id, name)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Clone an existing scenario with a new name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calculateModel()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Runs runFullModel() for active scenario; captures warnings (&gt;95% margin, &lt;-50% NI)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calculateAllScenarios()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Syncs GLOBAL_KEYS from Base Case → all scenarios, then runs model for each independently (failures don't block others)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undo() / redo()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Assumption-level undo/redo → auto-recalculates after restore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resetToDefaults()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state reset to demo company data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setCountryPreset(preset)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Applies US / Egyptian / Custom tax, VAT, CBE rates, depreciation, fiscal year to ALL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setCellOverride()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 cell value override for specific scenario/row/period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dismissConflict()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Dismiss multi-tab conflict notification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toggleDarkMode() / setSidebarOpen()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 toggle actions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7.1 GLOBAL_KEYS Sync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calculateAllScenarios() syncs these keys from Base Case to all other scenarios before computing: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taxRate, taxRegime, vatRate, enableVAT, dividendWithholdingRate,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dividendWithholdingTaxRate, isEGXListed, useEgyptianRates, countryPreset,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fiscalYearPreset, fiscalYearEnd, projectionYears, historicalYears,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cbeRate, riskFreeRate, legacyDebtRate, employeeProfitSharingRate,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enableEmployeeProfitShare, enableTaxLossCarryforward, taxLossCarryforwardYears,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enableLegalReserve, legalReservePercent, paidUpCapital, legalReserveCap,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depreciationMethod, enableEndOfServiceBenefit,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interestRateOnDebt, interestRateOnCash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7.2 Persistence &amp; Migration (v4)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Persisted fields (via partialize): companyName, ticker, industry, currency, country, fiscalYearEnd, valuationDate, historicalData, historicalInputs, scenarios, activeScenarioId, isDarkMode.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v4 migration handles: scalar→array interest rate conversion, CBE rate defaults, tax regime sync (forces correct rate per regime), interest rate floor resets (US→Egypt), startYear 2025→2026, historical years 2023/2024→2024/2025.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8. Export Layer (lib/export/)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8.1 Excel Export (excel.ts + 4 sub-modules) — 4,200+ lines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Generates a 9-tab Excel workbook where every single calculation cell contains a LIVE FORMULA — no hard-coded computed values.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 Name</w:t>
            </w:r>
          </w:p>
        </w:tc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Builder Module</w:t>
            </w:r>
          </w:p>
        </w:tc>
        <w:tc>
          <w:tcPr>
            <w:tcW w:type="pct" w:w="5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Content Description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Info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build-company-info.ts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 sections: company ID, model config, Egypt regulatory/tax, report/preparer info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Summary Dashboard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build-dashboard.ts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switcher dropdown with IF()-formula metric rows that change dynamically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build-scenarios.ts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side-by-side scenario blocks (Base / Optimistic / Conservative) with 40+ assumption rows each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40+ assumption rows — the editable inputs that drive all formula tabs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Revenue → EPS waterfall with formulas referencing Assumptions tab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 Sheet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Cash as a plug formula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Flow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Indirect method CF with formulas referencing IS and BS tabs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— all formula-driven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_Calc_Base/Opt/Con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build-calc-sheets.ts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hidden sheets with IS/BS/CF formula replicas per scenario (90 rows each)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Export Sub-Modules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build-company-info.ts (131 lines) — Company metadata, regulatory defaults, color-coded editable vs auto-computed cells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build-scenarios.ts (445 lines) — Builds all assumption arrays per scenario; maps ROW_SPECS keys to row positions for cross-sheet references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build-calc-sheets.ts (707 lines) — Creates hidden formula sheets (_Calc_Base, _Calc_Opt, _Calc_Con) with 90-row IS/BS/CF replicas that reference the Scenarios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build-dashboard.ts (397 lines) — Scenario comparison with IF() formulas switching between scenario calc sheets based on a dropdown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Key Excel Architecture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vs Projected visual styling — historical columns have blue tint, vertical separator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Back-computed assumptions — historical DSO, DIO, DPO are reverse-calculated from actual BS/IS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Cash plug formula: Cash = Total L+E − AR − Inventory − Prepaid − OCA − Total NCA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Balance check row: IF(ABS(TotalAssets − TotalL&amp;E) &lt; 1, "✓ Balanced", "✗ Imbalanced")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CF reconciliation: IF(ABS(EndingCash − BS.Cash) &lt; 0.01, "✓ Reconciles", "✗ Error")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Zebra-striping and negative-value red formatting applied automatically via applyZebraAndNegatives()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8.2 PDF Export (pdf.ts) — 49 KB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Multi-page professional report with cover page (company name, ticker, industry, generation date)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Income Statement, Balance Sheet, Cash Flow tables rendered via jsPDF AutoTable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Ratio analysis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Supports Egyptian locale with bilingual headers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8.3 CSV / JSON Export (csv-json.ts)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Plain data export in CSV and JSON formats for integration with external tools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Includes all statement data in structured format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9. Internationalization &amp; Egyptian Localization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9.1 Bilingual Labels (i18n/labels.ts)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80+ financial line items with English/Arabic label pairs covering Income Statement, Balance Sheet, Cash Flow, Ratios, and Egyptian-specific terms: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revenue:            { en: 'Revenue',              ar: 'الإيرادات'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accountsReceivable: { en: 'Accounts Receivable',  ar: 'المدينون'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netIncome:          { en: 'Net Income',            ar: 'صافي الربح'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vatRate:            { en: 'VAT Rate',              ar: 'معدل ضريبة القيمة المضافة'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corporateTaxRate:   { en: 'Corporate Tax Rate',    ar: 'معدل الضريبة على الشركات'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getLabel(key, language) function retrieves the appropriate label with English fallback.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9.2 Egyptian Depreciation Schedules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tax law prescribes specific depreciation rate ranges per asset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Asset Class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 Name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Min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Max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Typical Rate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Buildings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مباني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Machinery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آلات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Vehicles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مركبات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12.5%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Computers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حاسبات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Furniture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أثاث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calculateEgyptianBlendedRate(breakdown) computes a weighted-average depreciation rate from the asset-class mix.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defaults: Corporate tax 22.5%, VAT 14%, Dividend withholding 10%.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Fiscal year presets: Calendar (January-December), Egyptian Government (July-June), Custom.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9.3 Egyptian Industry Templates (templates/egyptian-industries.ts)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5 pre-configured sector templates with bilingual names and typical assumption profiles: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pct" w:w="1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Growth</w:t>
            </w:r>
          </w:p>
        </w:tc>
        <w:tc>
          <w:tcPr>
            <w:tcW w:type="pct" w:w="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GM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SG&amp;A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DPO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CapEx%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Real Estate &amp; Construction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العقارات والبناء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3%</w:t>
            </w:r>
          </w:p>
        </w:tc>
      </w:tr>
      <w:tr>
        <w:tc>
          <w:tcPr>
            <w:tcW w:type="pct" w:w="1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FMCG / Consumer Goods</w:t>
            </w:r>
          </w:p>
        </w:tc>
        <w:tc>
          <w:tcPr>
            <w:tcW w:type="pct" w:w="1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سلع استهلاكية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12%</w:t>
            </w:r>
          </w:p>
        </w:tc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Telecom &amp; Technology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اتصالات وتكنولوجيا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</w:tr>
      <w:tr>
        <w:tc>
          <w:tcPr>
            <w:tcW w:type="pct" w:w="1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Petrochemicals &amp; Energy</w:t>
            </w:r>
          </w:p>
        </w:tc>
        <w:tc>
          <w:tcPr>
            <w:tcW w:type="pct" w:w="1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بتروكيماويات وطاقة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Tourism &amp; Hospitality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سياحة وضيافة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6%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template also includes a sector-specific asset-class mix (buildings/machinery/vehicles/computers/furniture) for Egyptian depreciation calculations. Use getTemplate(id) to retrieve.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10. Utility Functions (utils.ts)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formatCurrency(value, currency, compact)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Multi-currency formatting. ALWAYS uses en-US locale to ensure English numerals (0-9), never Arabic (٠-٩). Supports compact mode ($1.2M, $340K).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formatPercent(value, decimals)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Percentage formatting (e.g., "15.2%")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formatNumber(value, decimals)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Number formatting with en-US locale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formatEPS(value, currency)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EPS formatted with appropriate currency symbol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colorForValue(value)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Returns CSS color: green (&gt;0), red (&lt;0), or neutral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cn(...classes)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class name joiner (filters falsy values)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Supported currencies: USD ($), EGP (E£), EUR (€), GBP (£), SAR (SR), AED (AED).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11. UI Components (27 total)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11.1 Core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Navigation (19 tabs), Calculate button, Export buttons (Excel/PDF/CSV/JSON), dark mode toggle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Dashboard.tsx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KPI cards (Revenue, EBITDA, NI, EPS, FCF), Scenario comparison table with delta vs base case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 editor — all 60+ fields organized in collapsible sections by category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~280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Displays 80+ integration checks (16 checks × projection years) with pass/fail indicators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11.2 Financial Statement Views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IS table with historical columns (blue tint) and projected columns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Assets, Liabilities, Equity sections with balance check indicator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with reconciliation indicator at bottom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151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 ratios dashboard with color-coded thresholds (good/bad indicators)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11.3 Supporting Schedules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WorkingCapitalPage.tsx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~380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 metrics, NWC build, NWC as % of Revenue analysis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DepreciationPage.tsx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~290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rollforward, Egyptian asset-class mix sliders for blended rate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DebtSchedulePage.tsx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issuance/repayment timeline, beginning/ending balances, interest calc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11.4 Valuation &amp; Analysis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valuation: WACC breakdown, FCF discounting table, terminal value, equity bridge, implied share price, WACC sensitivity matrix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187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Trading multiples (P/E, EV/EBITDA, P/B, FCF Yield, Dividend Yield), EGX 30 benchmark comparison bar chart, implied share prices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CBEMetricsPage.tsx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219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Central Bank of Egypt regulatory metrics: Debt/EBITDA, Interest Coverage, Debt Service Coverage, Current Ratio, Net Debt/Equity with CBE threshold pass/fail indicators (policy rate 27.25%)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SensitivityPage.tsx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Tornado chart visualization + data table with one-way sensitivity results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MonteCarloPage.tsx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Histogram visualization + comprehensive percentile statistics panel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11.5 Scenario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list with create / duplicate / delete actions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ScenarioSelector.tsx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Quick scenario switcher component (shown on statement/schedule tabs)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ScenarioComparisonModal.tsx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side-by-side scenario comparison modal with all key metrics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11.6 Settings &amp; Data Entry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CompanySettings.tsx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~115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name, ticker, industry, currency, country, fiscal year editor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EgyptianSettings.tsx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VAT toggle, tax rates, fiscal year preset, asset-class depreciation mix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HistoricalImportPage.tsx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CSV file import with automatic column mapping and preview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HistoricalDataInput.tsx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input form with balance validation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11.7 Charts &amp; System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RevenueChart.tsx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~85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bar chart built with Recharts, shows historical + projected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MarginChart.tsx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~55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Gross/Operating/Net margin line chart with period labels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ErrorBanner.tsx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Auto-dismissing (10s) error alert banner with Retry button, shown when calculateModel() throws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ConflictModal.tsx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76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Multi-tab conflict detection modal — Keep Mine / Load Latest / Dismiss options when localStorage is modified by another tab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12. Navigation &amp; Tab System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app uses a 19-tab system controlled by the Zustand store's activeTab field: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dashboard → income → balance → cashflow → ratios → model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working-capital → depreciation → debt-schedule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dcf → valuation → cbe-metrics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scenarios → sensitivity → montecarlo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import → historicaldata → validation → company-settings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tab is rendered as a separate component in page.tsx based on the activeTab value. The Sidebar component provides navigation buttons with icons for each section.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Keyboard shortcuts: Ctrl+S → Calculate All Scenarios, Ctrl+Z → Undo, Ctrl+Shift+Z → Redo.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ScenarioSelector dropdown appears on: dashboard, income, balance, cashflow, working-capital, depreciation, debt-schedule tabs.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13. Data Flow Architecture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system follows a clear input → engine → output pipeline: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Input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Data (2-3 years of actual financial data, entered manually or via CSV import)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Assumptions (60+ configurable parameters for projections)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Selection (Base / Optimistic / Conservative / Custom)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All state managed centrally in the Zustand store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Engine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integrator.runFullModel() orchestrates the entire calculation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Builds historical IS/BS/CF from raw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For each projection year: runs resolveCircularReferences() (up to 100 iterations per year)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Each iteration: IS → BS (cash=plug) → CF → check interest convergence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Validates integration with 16 cross-statement checks per year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Combines all periods and calculates 23 financial ratios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Output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UI Components — Dashboard, statement views, schedule pages, analysis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Excel Export — 9-tab workbook with 100% live formulas (no hard-coded values)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PDF Export — Multi-page professional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CSV/JSON Export — Raw data for external tools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Analysis &amp; Valuation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Sensitivity Analysis — One-way and two-way parameter sweeps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 Carlo Simulation — 10,000 iterations with configurable distributions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Comparison — Side-by-side metric comparison across all scenarios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DCF Valuation — WACC (CAPM) → discounted FCFs → terminal value → implied share price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Trading Multiples — P/E, EV/EBITDA, P/B, FCF Yield, Dividend Yield vs EGX 30 benchmarks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CBE Regulatory Metrics — Debt/EBITDA, Interest Coverage, DSCR, Current Ratio, Net Debt/Equity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14. Key Design Decisions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1. Cash as Plug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Cash is the balancing item on the balance sheet: Cash = Total L+E − all other assets. This guarantees A = L+E always holds, which is critical for the iterative solver to work correctly.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2. Iterative Circular Resolution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fundamental circular dependency (Interest → Net Income → Cash → CF → Interest) is resolved via iteration. The solver runs up to 100 rounds with a tolerance of 0.01 for interest values. This approach is simpler and more robust than algebraic solutions.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3. Revenue Chain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Revenue ALWAYS chains from previousRevenue × (1 + growthRate). There is no separate base for projections — the first projected year grows from the last historical revenue. This ensures consistency across the IS.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4. Average Balances for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Interest expense = average(beginning, ending) total debt × interest rate. Interest income = average(beginning, ending) cash × interest income rate. This is standard financial modeling practice.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5. Back-Computed Historical Assumptions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For the Excel export, historical-period DSO, DIO, DPO, and other metrics are reverse-calculated from actual data. This allows every cell in the Excel to have a formula, even for historical periods.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6. Egyptian Localization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Full support for the Egyptian market: 22.5% corporate tax rate, 14% VAT, 5 asset-class depreciation with legal rate ranges, bilingual English/Arabic labels, and Egyptian government fiscal year (July-June) support.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7. Zustand + localStorage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State persists across browser refreshes via the zustand/middleware/persist module. Only essential fields are persisted (via partialize), while computed results and UI state are excluded.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15. Known Limitations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53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Workaround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Circular References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Iterative solver may not converge with extreme assumptions (200%+ debt ratios)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realistic assumption ranges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Interest Calculation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Uses beginning-of-period debt (flat rate × beginning balance) — no mid-period debt changes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Acceptable for most modeling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Balancing Plug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is used as the plug when BS doesn't balance exactly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Check balanceDifference field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Carryforward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Not implemented — negative EBT still applies tax rate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tax rate to 0% for loss scenarios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 &amp; Intangibles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Static from assumptions — no impairment testing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Manually update assumptions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DSO/DIO/DPO-driven — no seasonal or cyclical variation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 for annual models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Structure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Constant debt levels unless assumption overrides used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scenario manager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Performance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 Carlo with 10,000+ iterations can freeze UI for 5-15s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Reduce iteration count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Landscape A4 — may truncate columns with 8+ projected years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Excel export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Browser Storage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state persisted in localStorage — limited to ~5MB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 to JSON regularly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Single Currency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 foreign exchange conversion or multi-currency balance sheets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Future enhancement planned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Undo/Redo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Only tracks assumption changes, not scenario additions/deletions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</w:t>
            </w:r>
          </w:p>
        </w:tc>
      </w:tr>
    </w:tbl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Planned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Web Worker for Monte Carlo (non-blocking UI)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Tax loss carryforward logic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Debt covenants and revolving credit facility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Real-time API integration (Yahoo Finance, FMP)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Multi-currency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Industry-specific templates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3-Statement Financial Model Engine — Technical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20"/>
    </w:pPr>
    <w:rPr>
      <w:rFonts w:ascii="Calibri" w:cs="Calibri" w:eastAsia="Calibri" w:hAnsi="Calibri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80"/>
    </w:pPr>
    <w:rPr>
      <w:rFonts w:ascii="Calibri" w:cs="Calibri" w:eastAsia="Calibri" w:hAnsi="Calibri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60"/>
    </w:pPr>
    <w:rPr>
      <w:rFonts w:ascii="Calibri" w:cs="Calibri" w:eastAsia="Calibri" w:hAnsi="Calibri"/>
      <w:b/>
      <w:bCs/>
      <w:color w:val="3B82F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3-Statement Financial Model Engine — Complete Technical Overview</dc:title>
  <dc:creator>Financial Model Engine</dc:creator>
  <dc:description>Complete technical overview of the 3-Statement Financial Model Engine</dc:description>
  <cp:lastModifiedBy>Un-named</cp:lastModifiedBy>
  <cp:revision>1</cp:revision>
  <dcterms:created xsi:type="dcterms:W3CDTF">2026-03-08T22:28:31.400Z</dcterms:created>
  <dcterms:modified xsi:type="dcterms:W3CDTF">2026-03-08T22:28:31.401Z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