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</w:p>
    <w:p>
      <w:pPr>
        <w:spacing w:after="40"/>
      </w:pPr>
    </w:p>
    <w:p>
      <w:pPr>
        <w:spacing w:after="40"/>
      </w:pPr>
    </w:p>
    <w:p>
      <w:pPr>
        <w:spacing w:after="40"/>
      </w:pPr>
    </w:p>
    <w:p>
      <w:pPr>
        <w:spacing w:after="40"/>
      </w:pPr>
    </w:p>
    <w:p>
      <w:pPr>
        <w:spacing w:after="40"/>
      </w:pPr>
    </w:p>
    <w:p>
      <w:pPr>
        <w:spacing w:after="0"/>
        <w:jc w:val="center"/>
      </w:pPr>
      <w:r>
        <w:rPr>
          <w:rFonts w:ascii="Calibri" w:cs="Calibri" w:eastAsia="Calibri" w:hAnsi="Calibri"/>
          <w:b/>
          <w:bCs/>
          <w:color w:val="1E3A8A"/>
          <w:sz w:val="52"/>
          <w:szCs w:val="52"/>
        </w:rPr>
        <w:t xml:space="preserve">3-Statement Financial</w:t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1E3A8A"/>
          <w:sz w:val="52"/>
          <w:szCs w:val="52"/>
        </w:rPr>
        <w:t xml:space="preserve">Model Engine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3B82F6"/>
          <w:sz w:val="16"/>
          <w:szCs w:val="16"/>
        </w:rPr>
        <w:t xml:space="preserve">━━━━━━━━━━━━━━━━━━━━━━━━━━━━━━━━━━━━━━━━━━━━━━━━━━</w:t>
      </w:r>
    </w:p>
    <w:p>
      <w:pPr>
        <w:spacing w:after="400"/>
        <w:jc w:val="center"/>
      </w:pPr>
      <w:r>
        <w:rPr>
          <w:rFonts w:ascii="Calibri" w:cs="Calibri" w:eastAsia="Calibri" w:hAnsi="Calibri"/>
          <w:i/>
          <w:iCs/>
          <w:color w:val="6B7280"/>
          <w:sz w:val="28"/>
          <w:szCs w:val="28"/>
        </w:rPr>
        <w:t xml:space="preserve">Complete Technical Overview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3B82F6"/>
          <w:sz w:val="20"/>
          <w:szCs w:val="20"/>
        </w:rPr>
        <w:t xml:space="preserve">› 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Framework: Next.js 16 + React 19 + TypeScript 5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3B82F6"/>
          <w:sz w:val="20"/>
          <w:szCs w:val="20"/>
        </w:rPr>
        <w:t xml:space="preserve">› 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Engine: 7 calculation modules incl. DCF, Valuation, Circular Resolver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3B82F6"/>
          <w:sz w:val="20"/>
          <w:szCs w:val="20"/>
        </w:rPr>
        <w:t xml:space="preserve">› 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Export: Excel (9 tabs, live formulas) · PDF · CSV · JSON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3B82F6"/>
          <w:sz w:val="20"/>
          <w:szCs w:val="20"/>
        </w:rPr>
        <w:t xml:space="preserve">› 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Analysis: Monte Carlo · Sensitivity · Scenario Comparison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3B82F6"/>
          <w:sz w:val="20"/>
          <w:szCs w:val="20"/>
        </w:rPr>
        <w:t xml:space="preserve">› 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Valuation: DCF (WACC/CAPM) · Trading Multiples · EGX 30 Benchmarks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3B82F6"/>
          <w:sz w:val="20"/>
          <w:szCs w:val="20"/>
        </w:rPr>
        <w:t xml:space="preserve">› 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Localization: English / Arabic · Egyptian Market · CBE Metrics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3B82F6"/>
          <w:sz w:val="20"/>
          <w:szCs w:val="20"/>
        </w:rPr>
        <w:t xml:space="preserve">› 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27 UI Components · 19 Navigation Tabs · Zustand State Management</w:t>
      </w:r>
    </w:p>
    <w:p>
      <w:pPr>
        <w:spacing w:after="40"/>
      </w:pPr>
    </w:p>
    <w:p>
      <w:pPr>
        <w:spacing w:after="40"/>
      </w:pPr>
    </w:p>
    <w:p>
      <w:pPr>
        <w:spacing w:after="40"/>
      </w:pPr>
    </w:p>
    <w:p>
      <w:pPr>
        <w:spacing w:after="40"/>
      </w:pPr>
    </w:p>
    <w:p>
      <w:pPr>
        <w:jc w:val="center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Generated: March 7, 2026</w:t>
      </w:r>
    </w:p>
    <w:p>
      <w:r>
        <w:br w:type="page"/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E3A8A"/>
          <w:sz w:val="36"/>
          <w:szCs w:val="36"/>
        </w:rPr>
        <w:t xml:space="preserve">Table of Contents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Technology Stack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Project Structure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Type System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Engine Layer (7 modules)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Financial Ratios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Analysis Tools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7.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State Management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8.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Export Layer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9.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Internationalization &amp; Egyptian Localization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10.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Utility Functions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11.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UI Components (27 total)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12.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Navigation &amp; Tab System (19 tabs)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13.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Data Flow Architecture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14.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Key Design Decisions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15.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Known Limitations &amp; Planned Improvements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</w:t>
      </w:r>
    </w:p>
    <w:p>
      <w:r>
        <w:br w:type="page"/>
      </w:r>
    </w:p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1. Technology Stack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type="pct" w:w="4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Technology</w:t>
            </w:r>
          </w:p>
        </w:tc>
        <w:tc>
          <w:tcPr>
            <w:tcW w:type="pct" w:w="3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Framework</w:t>
            </w:r>
          </w:p>
        </w:tc>
        <w:tc>
          <w:tcPr>
            <w:tcW w:type="pct" w:w="4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Next.js (Turbopack)</w:t>
            </w:r>
          </w:p>
        </w:tc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16.1.6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Language</w:t>
            </w:r>
          </w:p>
        </w:tc>
        <w:tc>
          <w:tcPr>
            <w:tcW w:type="pct" w:w="4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TypeScript</w:t>
            </w:r>
          </w:p>
        </w:tc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5.x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UI</w:t>
            </w:r>
          </w:p>
        </w:tc>
        <w:tc>
          <w:tcPr>
            <w:tcW w:type="pct" w:w="4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React</w:t>
            </w:r>
          </w:p>
        </w:tc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19.2.3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State Management</w:t>
            </w:r>
          </w:p>
        </w:tc>
        <w:tc>
          <w:tcPr>
            <w:tcW w:type="pct" w:w="4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Zustand (persist middleware)</w:t>
            </w:r>
          </w:p>
        </w:tc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5.0.11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Charts</w:t>
            </w:r>
          </w:p>
        </w:tc>
        <w:tc>
          <w:tcPr>
            <w:tcW w:type="pct" w:w="4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Recharts + D3</w:t>
            </w:r>
          </w:p>
        </w:tc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3.7 / 7.9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Excel Export</w:t>
            </w:r>
          </w:p>
        </w:tc>
        <w:tc>
          <w:tcPr>
            <w:tcW w:type="pct" w:w="4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ExcelJS</w:t>
            </w:r>
          </w:p>
        </w:tc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4.4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PDF Export</w:t>
            </w:r>
          </w:p>
        </w:tc>
        <w:tc>
          <w:tcPr>
            <w:tcW w:type="pct" w:w="4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jsPDF + AutoTable</w:t>
            </w:r>
          </w:p>
        </w:tc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4.1 / 5.0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Validation</w:t>
            </w:r>
          </w:p>
        </w:tc>
        <w:tc>
          <w:tcPr>
            <w:tcW w:type="pct" w:w="4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Zod + TypeBox</w:t>
            </w:r>
          </w:p>
        </w:tc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4.3 / 0.34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CSS Framework</w:t>
            </w:r>
          </w:p>
        </w:tc>
        <w:tc>
          <w:tcPr>
            <w:tcW w:type="pct" w:w="4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Tailwind CSS</w:t>
            </w:r>
          </w:p>
        </w:tc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4.x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Math Library</w:t>
            </w:r>
          </w:p>
        </w:tc>
        <w:tc>
          <w:tcPr>
            <w:tcW w:type="pct" w:w="4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mathjs</w:t>
            </w:r>
          </w:p>
        </w:tc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15.1</w:t>
            </w:r>
          </w:p>
        </w:tc>
      </w:tr>
    </w:tbl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2. Project Structure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3_Statement_Model_Engine/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├── app/                        # Next.js app router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page.tsx                # Main page (tab router)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layout.tsx              # Root layout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└── globals.css             # Design system (8.9 KB)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├── types/                      # TypeScript interfaces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assumptions.ts          # AssumptionSet (60+ fields), HistoricalInputs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financial.ts            # IS, BS, CF, Ratios, IntegrationChecks, ModelResults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historical.ts           # HistoricalDataInput, converters, validators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└── scenario.ts             # Scenario, ModelState, Monte Carlo types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├── lib/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engines/                # Core calculation engine (7 modules)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│   ├── income-statement.ts # Revenue → Net Income waterfall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│   ├── balance-sheet.ts    # All asset/liability/equity calculations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│   ├── cash-flow.ts        # Indirect method CF generation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│   ├── circular-resolver.ts# Iterative solver + 16 integration checks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│   ├── integrator.ts       # Master orchestrator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│   ├── dcf.ts              # DCF valuation (WACC/CAPM/Gordon Growth)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│   └── valuation.ts        # Trading multiples + EGX 30 benchmarks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export/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│   ├── excel.ts            # 9-tab Excel workbook (103 KB of formulas)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│   ├── pdf.ts              # Multi-page PDF report (49 KB)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│   └── csv-json.ts         # CSV + JSON data export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store.ts                # Zustand store (16 KB, 15+ actions)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ratios.ts               # 23 financial ratios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monte-carlo.ts          # Monte Carlo simulation (4 distributions)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sensitivity.ts          # 1-way and 2-way sensitivity analysis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scenario-manager.ts     # Scenario CRUD + comparison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scenarios.ts            # Pre-defined scenario definitions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i18n/labels.ts          # Bilingual labels (English / Arabic)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templates/egyptian-industries.ts  # 5 sector-specific assumption templates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schedules/egyptian-depreciation.ts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└── utils.ts                # Multi-currency formatting utilities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└── components/                 # 27 React UI components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 ├── Dashboard, Sidebar, ModelPage, ValidationPage, ...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 ├── DCFPage, ValuationPage, CBEMetricsPage    (NEW)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 ├── ErrorBanner, ConflictModal                (NEW)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 ├── charts/ (RevenueChart, MarginChart)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 ├── statements/ (IS, BS, CF pages)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 └── schedules/ (WorkingCapital, Depreciation, Debt)</w:t>
      </w:r>
    </w:p>
    <w:p>
      <w:r>
        <w:br w:type="page"/>
      </w:r>
    </w:p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3. Type System (types/)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3.1 AssumptionSet (assumptions.ts) — 90+ fields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The main projection configuration organized by category. Fields marked with [] are per-projection-year arrays: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1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pct" w:w="79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Key Fields</w:t>
            </w:r>
          </w:p>
        </w:tc>
      </w:tr>
      <w:tr>
        <w:tc>
          <w:tcPr>
            <w:tcW w:type="pct" w:w="21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Revenue</w:t>
            </w:r>
          </w:p>
        </w:tc>
        <w:tc>
          <w:tcPr>
            <w:tcW w:type="pct" w:w="79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revenueBase, revenueGrowthRate[]</w:t>
            </w:r>
          </w:p>
        </w:tc>
      </w:tr>
      <w:tr>
        <w:tc>
          <w:tcPr>
            <w:tcW w:type="pct" w:w="21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Margins</w:t>
            </w:r>
          </w:p>
        </w:tc>
        <w:tc>
          <w:tcPr>
            <w:tcW w:type="pct" w:w="79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cogsPercent[], sgaPercent[], rdPercent[], otherOpexPercent[]</w:t>
            </w:r>
          </w:p>
        </w:tc>
      </w:tr>
      <w:tr>
        <w:tc>
          <w:tcPr>
            <w:tcW w:type="pct" w:w="21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Working Capital</w:t>
            </w:r>
          </w:p>
        </w:tc>
        <w:tc>
          <w:tcPr>
            <w:tcW w:type="pct" w:w="79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dso[], dio[], dpo[], prepaidPercent[], accruedExpPercent[], deferredRevPercent[]</w:t>
            </w:r>
          </w:p>
        </w:tc>
      </w:tr>
      <w:tr>
        <w:tc>
          <w:tcPr>
            <w:tcW w:type="pct" w:w="21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CapEx &amp; Depr.</w:t>
            </w:r>
          </w:p>
        </w:tc>
        <w:tc>
          <w:tcPr>
            <w:tcW w:type="pct" w:w="79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capexPercent[], depreciationRate[], amortizationAmount[], depreciationMethod (straight-line|declining-balance|egyptian-tax)</w:t>
            </w:r>
          </w:p>
        </w:tc>
      </w:tr>
      <w:tr>
        <w:tc>
          <w:tcPr>
            <w:tcW w:type="pct" w:w="21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Debt &amp; Financing</w:t>
            </w:r>
          </w:p>
        </w:tc>
        <w:tc>
          <w:tcPr>
            <w:tcW w:type="pct" w:w="79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cbeRate (27.25%), interestRateOnDebt[] ([22%,22%,20%,18%,18%]), interestRateOnCash[], legacyDebtRate (4.5%), shortTermDebtAmount[], longTermDebtIssuance[], longTermDebtRepayment[], currentPortionLTD[]</w:t>
            </w:r>
          </w:p>
        </w:tc>
      </w:tr>
      <w:tr>
        <w:tc>
          <w:tcPr>
            <w:tcW w:type="pct" w:w="21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Equity</w:t>
            </w:r>
          </w:p>
        </w:tc>
        <w:tc>
          <w:tcPr>
            <w:tcW w:type="pct" w:w="79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sharesOutstanding[], dividendPayoutRatio[], shareRepurchaseAmount[], stockBasedCompAmount[], commonStock[], apic[], oci[], equityIssuance[]</w:t>
            </w:r>
          </w:p>
        </w:tc>
      </w:tr>
      <w:tr>
        <w:tc>
          <w:tcPr>
            <w:tcW w:type="pct" w:w="21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Tax &amp; Regime</w:t>
            </w:r>
          </w:p>
        </w:tc>
        <w:tc>
          <w:tcPr>
            <w:tcW w:type="pct" w:w="79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taxRate[] (default 22.5%), taxRegime (standard|oil|strategic|sme), enableVAT, vatRate (14%)</w:t>
            </w:r>
          </w:p>
        </w:tc>
      </w:tr>
      <w:tr>
        <w:tc>
          <w:tcPr>
            <w:tcW w:type="pct" w:w="21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Employee Profit Sharing</w:t>
            </w:r>
          </w:p>
        </w:tc>
        <w:tc>
          <w:tcPr>
            <w:tcW w:type="pct" w:w="79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employeeProfitSharingRate (10%), enableEmployeeProfitShare, totalAnnualPayroll (EPD cap)</w:t>
            </w:r>
          </w:p>
        </w:tc>
      </w:tr>
      <w:tr>
        <w:tc>
          <w:tcPr>
            <w:tcW w:type="pct" w:w="21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Tax Loss Carryforward</w:t>
            </w:r>
          </w:p>
        </w:tc>
        <w:tc>
          <w:tcPr>
            <w:tcW w:type="pct" w:w="79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enableTaxLossCarryforward, taxLossCarryforwardYears (5) — Tax Law Art. 29</w:t>
            </w:r>
          </w:p>
        </w:tc>
      </w:tr>
      <w:tr>
        <w:tc>
          <w:tcPr>
            <w:tcW w:type="pct" w:w="21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Legal Reserve</w:t>
            </w:r>
          </w:p>
        </w:tc>
        <w:tc>
          <w:tcPr>
            <w:tcW w:type="pct" w:w="79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enableLegalReserve, legalReservePercent (5%), paidUpCapital, legalReserveCap (50%), initialLegalReserve — Companies Law Art. 40</w:t>
            </w:r>
          </w:p>
        </w:tc>
      </w:tr>
      <w:tr>
        <w:tc>
          <w:tcPr>
            <w:tcW w:type="pct" w:w="21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Dividend WHT</w:t>
            </w:r>
          </w:p>
        </w:tc>
        <w:tc>
          <w:tcPr>
            <w:tcW w:type="pct" w:w="79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dividendWithholdingTaxRate (10% unlisted / 5% EGX-listed), isEGXListed — Law 30/2023</w:t>
            </w:r>
          </w:p>
        </w:tc>
      </w:tr>
      <w:tr>
        <w:tc>
          <w:tcPr>
            <w:tcW w:type="pct" w:w="21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End of Service</w:t>
            </w:r>
          </w:p>
        </w:tc>
        <w:tc>
          <w:tcPr>
            <w:tcW w:type="pct" w:w="79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enableEndOfServiceBenefit, averageMonthlyBasicSalary, numberOfEmployees[] — Labor Law + EAS 38</w:t>
            </w:r>
          </w:p>
        </w:tc>
      </w:tr>
      <w:tr>
        <w:tc>
          <w:tcPr>
            <w:tcW w:type="pct" w:w="21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DCF / Valuation</w:t>
            </w:r>
          </w:p>
        </w:tc>
        <w:tc>
          <w:tcPr>
            <w:tcW w:type="pct" w:w="79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riskFreeRate (20%), beta (1.0), equityRiskPremium (10.5%), terminalGrowthRate (7%), sharePrice (optional)</w:t>
            </w:r>
          </w:p>
        </w:tc>
      </w:tr>
      <w:tr>
        <w:tc>
          <w:tcPr>
            <w:tcW w:type="pct" w:w="21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Inflation</w:t>
            </w:r>
          </w:p>
        </w:tc>
        <w:tc>
          <w:tcPr>
            <w:tcW w:type="pct" w:w="79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inflationRate[] ([25%,18%,14%,10%,8%]), linkRevenueToInflation</w:t>
            </w:r>
          </w:p>
        </w:tc>
      </w:tr>
      <w:tr>
        <w:tc>
          <w:tcPr>
            <w:tcW w:type="pct" w:w="21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Sector Preset</w:t>
            </w:r>
          </w:p>
        </w:tc>
        <w:tc>
          <w:tcPr>
            <w:tcW w:type="pct" w:w="79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sectorPreset (technology|manufacturing|retail|government-contractor|export-oriented|real-estate|custom)</w:t>
            </w:r>
          </w:p>
        </w:tc>
      </w:tr>
      <w:tr>
        <w:tc>
          <w:tcPr>
            <w:tcW w:type="pct" w:w="21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Asset Mix</w:t>
            </w:r>
          </w:p>
        </w:tc>
        <w:tc>
          <w:tcPr>
            <w:tcW w:type="pct" w:w="79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assetMix.buildings (30%), .machinery (35%), .vehicles (15%), .computers (10%), .furniture (10%)</w:t>
            </w:r>
          </w:p>
        </w:tc>
      </w:tr>
      <w:tr>
        <w:tc>
          <w:tcPr>
            <w:tcW w:type="pct" w:w="21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Egyptian Preset</w:t>
            </w:r>
          </w:p>
        </w:tc>
        <w:tc>
          <w:tcPr>
            <w:tcW w:type="pct" w:w="79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countryPreset, useEgyptianRates, dividendWithholdingRate, fiscalYearEnd, fiscalYearPreset</w:t>
            </w:r>
          </w:p>
        </w:tc>
      </w:tr>
      <w:tr>
        <w:tc>
          <w:tcPr>
            <w:tcW w:type="pct" w:w="21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Other BS Items</w:t>
            </w:r>
          </w:p>
        </w:tc>
        <w:tc>
          <w:tcPr>
            <w:tcW w:type="pct" w:w="79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goodwill[], otherLongTermAssets[], otherCurrentAssets[], otherCurrentLiabilities[], deferredTaxLiabilities[], otherLongTermLiabilities[]</w:t>
            </w:r>
          </w:p>
        </w:tc>
      </w:tr>
      <w:tr>
        <w:tc>
          <w:tcPr>
            <w:tcW w:type="pct" w:w="21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Investing</w:t>
            </w:r>
          </w:p>
        </w:tc>
        <w:tc>
          <w:tcPr>
            <w:tcW w:type="pct" w:w="79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acquisitions[], assetSales[], investmentPurchases[], investmentSales[]</w:t>
            </w:r>
          </w:p>
        </w:tc>
      </w:tr>
      <w:tr>
        <w:tc>
          <w:tcPr>
            <w:tcW w:type="pct" w:w="21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Model Config</w:t>
            </w:r>
          </w:p>
        </w:tc>
        <w:tc>
          <w:tcPr>
            <w:tcW w:type="pct" w:w="79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projectionYears (5), historicalYears (2), startYear (2026), fiscalYearEnd (6=June)</w:t>
            </w:r>
          </w:p>
        </w:tc>
      </w:tr>
    </w:tbl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getDefaultAssumptions() → Egyptian-market defaults with CBE-linked rates. getDefaultHistoricalInputs() → 2-period (2024/2025) balanced demo data with RE calculated as plug.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3.2 Financial Statement Interfaces (financial.ts)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Interface</w:t>
            </w:r>
          </w:p>
        </w:tc>
        <w:tc>
          <w:tcPr>
            <w:tcW w:type="pct" w:w="2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Fields</w:t>
            </w:r>
          </w:p>
        </w:tc>
        <w:tc>
          <w:tcPr>
            <w:tcW w:type="pct" w:w="5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IncomeStatement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26 fields</w:t>
            </w:r>
          </w:p>
        </w:tc>
        <w:tc>
          <w:tcPr>
            <w:tcW w:type="pct" w:w="5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Revenue → EPS waterfall, includes VAT memo fields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BalanceSheet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30 fields</w:t>
            </w:r>
          </w:p>
        </w:tc>
        <w:tc>
          <w:tcPr>
            <w:tcW w:type="pct" w:w="5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Full A = L + E with isBalanced check flag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CashFlowStatement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25 fields</w:t>
            </w:r>
          </w:p>
        </w:tc>
        <w:tc>
          <w:tcPr>
            <w:tcW w:type="pct" w:w="5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CFO/CFI/CFF sections + FCF + reconciliation flag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FinancialRatios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23 fields</w:t>
            </w:r>
          </w:p>
        </w:tc>
        <w:tc>
          <w:tcPr>
            <w:tcW w:type="pct" w:w="5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Profitability, Liquidity, Leverage, Efficiency ratios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IntegrationChecks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16 booleans + details[]</w:t>
            </w:r>
          </w:p>
        </w:tc>
        <w:tc>
          <w:tcPr>
            <w:tcW w:type="pct" w:w="5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Cross-statement validation results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DCFValuation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13 fields</w:t>
            </w:r>
          </w:p>
        </w:tc>
        <w:tc>
          <w:tcPr>
            <w:tcW w:type="pct" w:w="5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fcfProjections[], discountedFCFs[], terminalValue, pvTerminalValue, EV, netDebt, equityValue, impliedSharePrice, wacc, costOfEquity, costOfDebt, debtWeight, equityWeight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ValuationMultiples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7 fields (nullable)</w:t>
            </w:r>
          </w:p>
        </w:tc>
        <w:tc>
          <w:tcPr>
            <w:tcW w:type="pct" w:w="5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pe, evEbitda, priceBook, fcfYield, dividendYield, marketCap, enterpriseValueMarket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EGXBenchmarks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 range objects</w:t>
            </w:r>
          </w:p>
        </w:tc>
        <w:tc>
          <w:tcPr>
            <w:tcW w:type="pct" w:w="5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pe/evEbitda/priceBook each with {low, high, avg} for EGX 30 benchmarks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ModelResults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Combined arrays</w:t>
            </w:r>
          </w:p>
        </w:tc>
        <w:tc>
          <w:tcPr>
            <w:tcW w:type="pct" w:w="5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IS[] + BS[] + CF[] + Ratios[] + IntegrationChecks[] + ConvergenceInfo + DCFValuation? + ValuationMultiples?</w:t>
            </w:r>
          </w:p>
        </w:tc>
      </w:tr>
    </w:tbl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3.3 Historical Data (historical.ts)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HistoricalDataInput — Per-year input object with 55+ fields, user-editable through the UI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convertToHistoricalInputs() — Bridges per-year object format → parallel array format for the engine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buildHistoricalYear() — Auto-computes derived totals (totalCurrentAssets, totalAssets, etc.) and uses retained earnings as plug so balance sheet always balances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validateHistoricalBalance() — Returns error string if Assets ≠ Liabilities + Equity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3.4 Scenario &amp; Analysis Types (scenario.ts)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ModelState — Global application state interface: company info, 15 navigation tabs, undo/redo stacks, errors/warnings arrays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Scenario — { id, name, type, assumptions, results, createdAt, updatedAt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ScenarioType — 'base' | 'optimistic' | 'conservative' | 'custom'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Distribution — { type: normal|uniform|triangular|lognormal, params: {mean, stdDev, min, max, mode}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MonteCarloConfig — iterations count, variable-to-distribution map, output metrics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MonteCarloResult — values array + statistics (mean, median, stdDev, p10/p25/p50/p75/p90, min, max)</w:t>
      </w:r>
    </w:p>
    <w:p>
      <w:r>
        <w:br w:type="page"/>
      </w:r>
    </w:p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4. Engine Layer (lib/engines/)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4.1 Income Statement Engine (income-statement.ts)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calculateIncomeStatement(inputs) builds a single projected IS using the waterfall: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Revenue = previousRevenue × (1 + growthRate)     ← ALWAYS chains from prior period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COGS = Revenue × cogsPercent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Gross Profit = Revenue − COGS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SG&amp;A = Revenue × sgaPercent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R&amp;D = Revenue × rdPercent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Depreciation = from PP&amp;E schedule (passed in from circular resolver)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Amortization = fixed amount from assumptions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Other OpEx = Revenue × otherOpexPercent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SBC = fixed amount from assumptions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Total OpEx = SG&amp;A + R&amp;D + D&amp;A + Other + SBC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EBIT = Gross Profit − Total OpEx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EBITDA = EBIT + Depreciation + Amortization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Interest Income = from average cash balance (passed in)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Interest Expense = from average debt balance (passed in)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Other Income/Expense = from assumptions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EBT = EBIT + Interest Income − Interest Expense + Other Income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Tax = max(0, EBT × taxRate)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Net Income = EBT − Tax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EPS = Net Income / Shares Outstanding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Also supports VAT memo fields for Egyptian market: revenueInclVAT, revenueExclVAT, vatCollected (only when enableVAT is true).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buildHistoricalIncomeStatements() constructs IS array from raw historical data arrays, computing growth rates from period-over-period changes.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4.2 Balance Sheet Engine (balance-sheet.ts)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calculateBalanceSheet(inputs) builds a single projected BS. Every item is derived from assumptions or the income statement: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Balance Sheet Item</w:t>
            </w:r>
          </w:p>
        </w:tc>
        <w:tc>
          <w:tcPr>
            <w:tcW w:type="pct" w:w="7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Calculation Formula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Accounts Receivable</w:t>
            </w:r>
          </w:p>
        </w:tc>
        <w:tc>
          <w:tcPr>
            <w:tcW w:type="pct" w:w="7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Revenue × DSO / 365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Inventory</w:t>
            </w:r>
          </w:p>
        </w:tc>
        <w:tc>
          <w:tcPr>
            <w:tcW w:type="pct" w:w="7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COGS × DIO / 365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Prepaid Expenses</w:t>
            </w:r>
          </w:p>
        </w:tc>
        <w:tc>
          <w:tcPr>
            <w:tcW w:type="pct" w:w="7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Revenue × prepaidPercent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Other Current Assets</w:t>
            </w:r>
          </w:p>
        </w:tc>
        <w:tc>
          <w:tcPr>
            <w:tcW w:type="pct" w:w="7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Revenue × otherCAPercent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Total Current Assets</w:t>
            </w:r>
          </w:p>
        </w:tc>
        <w:tc>
          <w:tcPr>
            <w:tcW w:type="pct" w:w="7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Sum of Cash + AR + Inventory + Prepaid + OCA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Gross PP&amp;E</w:t>
            </w:r>
          </w:p>
        </w:tc>
        <w:tc>
          <w:tcPr>
            <w:tcW w:type="pct" w:w="7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Prior Gross PP&amp;E + CapEx (Revenue × capexPercent)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Accumulated Depreciation</w:t>
            </w:r>
          </w:p>
        </w:tc>
        <w:tc>
          <w:tcPr>
            <w:tcW w:type="pct" w:w="7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Prior Accum Dep + Current Depreciation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Net PP&amp;E</w:t>
            </w:r>
          </w:p>
        </w:tc>
        <w:tc>
          <w:tcPr>
            <w:tcW w:type="pct" w:w="7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Gross PP&amp;E − Accumulated Depreciation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Intangibles / Goodwill</w:t>
            </w:r>
          </w:p>
        </w:tc>
        <w:tc>
          <w:tcPr>
            <w:tcW w:type="pct" w:w="7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From assumptions (fixed amounts)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Other Long-Term Assets</w:t>
            </w:r>
          </w:p>
        </w:tc>
        <w:tc>
          <w:tcPr>
            <w:tcW w:type="pct" w:w="7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Total Assets × otherLTAPercent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Accounts Payable</w:t>
            </w:r>
          </w:p>
        </w:tc>
        <w:tc>
          <w:tcPr>
            <w:tcW w:type="pct" w:w="7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COGS × DPO / 365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Accrued Expenses</w:t>
            </w:r>
          </w:p>
        </w:tc>
        <w:tc>
          <w:tcPr>
            <w:tcW w:type="pct" w:w="7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Revenue × accruedExpPercent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Deferred Revenue</w:t>
            </w:r>
          </w:p>
        </w:tc>
        <w:tc>
          <w:tcPr>
            <w:tcW w:type="pct" w:w="7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Revenue × deferredRevPercent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Short-Term Debt</w:t>
            </w:r>
          </w:p>
        </w:tc>
        <w:tc>
          <w:tcPr>
            <w:tcW w:type="pct" w:w="7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From assumptions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Long-Term Debt</w:t>
            </w:r>
          </w:p>
        </w:tc>
        <w:tc>
          <w:tcPr>
            <w:tcW w:type="pct" w:w="7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Prior LTD + Issuance − Repayment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Deferred Tax Liabilities</w:t>
            </w:r>
          </w:p>
        </w:tc>
        <w:tc>
          <w:tcPr>
            <w:tcW w:type="pct" w:w="7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Total Liabilities × deferredTaxLiabilityPercent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Retained Earnings</w:t>
            </w:r>
          </w:p>
        </w:tc>
        <w:tc>
          <w:tcPr>
            <w:tcW w:type="pct" w:w="7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Prior RE + Net Income − Dividends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APIC</w:t>
            </w:r>
          </w:p>
        </w:tc>
        <w:tc>
          <w:tcPr>
            <w:tcW w:type="pct" w:w="7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Prior APIC + SBC + Equity Issuance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Treasury Stock</w:t>
            </w:r>
          </w:p>
        </w:tc>
        <w:tc>
          <w:tcPr>
            <w:tcW w:type="pct" w:w="7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Prior Treasury − Share Repurchases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Cash &amp; Equivalents</w:t>
            </w:r>
          </w:p>
        </w:tc>
        <w:tc>
          <w:tcPr>
            <w:tcW w:type="pct" w:w="7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PLUG → Total L+E − all other assets (ensures A = L+E)</w:t>
            </w:r>
          </w:p>
        </w:tc>
      </w:tr>
    </w:tbl>
    <w:p>
      <w:pPr>
        <w:pBdr>
          <w:left w:val="single" w:color="3B82F6" w:sz="6"/>
        </w:pBdr>
        <w:shd w:fill="EFF6FF" w:color="EFF6FF" w:val="solid"/>
        <w:spacing w:before="120" w:after="120"/>
        <w:ind w:left="120"/>
      </w:pPr>
      <w:r>
        <w:rPr>
          <w:rFonts w:ascii="Calibri" w:cs="Calibri" w:eastAsia="Calibri" w:hAnsi="Calibri"/>
          <w:b/>
          <w:bCs/>
          <w:color w:val="3B82F6"/>
          <w:sz w:val="20"/>
          <w:szCs w:val="20"/>
        </w:rPr>
        <w:t xml:space="preserve">⚡ </w:t>
      </w:r>
      <w:r>
        <w:rPr>
          <w:rFonts w:ascii="Calibri" w:cs="Calibri" w:eastAsia="Calibri" w:hAnsi="Calibri"/>
          <w:b/>
          <w:bCs/>
          <w:color w:val="1E3A8A"/>
          <w:sz w:val="20"/>
          <w:szCs w:val="20"/>
        </w:rPr>
        <w:t xml:space="preserve">Cash is the balancing "plug" item: Cash = Total Liabilities + Equity − all other asset items. This guarantees the balance sheet always balances.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Helper functions provided: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calculateDepreciation(previousGrossPPE, capex, depreciationRate) — straight-line on gross PP&amp;E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calculateInterestExpense(beginDebt, endDebt, interestRate) — based on average debt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calculateInterestIncome(beginCash, endCash, interestIncomeRate) — based on average cash balance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4.3 Cash Flow Statement Engine (cash-flow.ts) — Indirect Method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calculateCashFlow(inputs) derives the cash flow from the income statement and balance sheet changes: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OPERATING ACTIVITIES: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Net Income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+ Depreciation &amp; Amortization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+ Stock-Based Compensation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+ Deferred Tax Changes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+ Working Capital Changes: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 − Change in Accounts Receivable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 − Change in Inventory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 − Change in Prepaid Expenses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 + Change in Accounts Payable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 + Change in Accrued Expenses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 + Change in Deferred Revenue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= Cash from Operations (CFO)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/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INVESTING ACTIVITIES: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− Capital Expenditures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− Acquisitions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+ Asset Sales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= Cash from Investing (CFI)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/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FINANCING ACTIVITIES: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+ Debt Issuance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− Debt Repayment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− Dividends Paid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+ Equity Issuance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− Share Repurchases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= Cash from Financing (CFF)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/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Net Change in Cash = CFO + CFI + CFF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Free Cash Flow = CFO − CapEx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Ending Cash = Beginning Cash + Net Change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Reconciles? = |Ending Cash − BS Cash| &lt; 0.01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Reconciliation utility (cash-flow-indirect.ts): Provides validateAllReconciliations() which checks that CF ending cash matches BS cash within $0.01 for every period. Re-exports the core CF engine functions.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4.4 Circular Resolver (circular-resolver.ts) — THE HEART OF THE ENGINE</w:t>
      </w:r>
    </w:p>
    <w:p>
      <w:pPr>
        <w:pBdr>
          <w:left w:val="single" w:color="3B82F6" w:sz="6"/>
        </w:pBdr>
        <w:shd w:fill="EFF6FF" w:color="EFF6FF" w:val="solid"/>
        <w:spacing w:before="120" w:after="120"/>
        <w:ind w:left="120"/>
      </w:pPr>
      <w:r>
        <w:rPr>
          <w:rFonts w:ascii="Calibri" w:cs="Calibri" w:eastAsia="Calibri" w:hAnsi="Calibri"/>
          <w:b/>
          <w:bCs/>
          <w:color w:val="3B82F6"/>
          <w:sz w:val="20"/>
          <w:szCs w:val="20"/>
        </w:rPr>
        <w:t xml:space="preserve">⚡ </w:t>
      </w:r>
      <w:r>
        <w:rPr>
          <w:rFonts w:ascii="Calibri" w:cs="Calibri" w:eastAsia="Calibri" w:hAnsi="Calibri"/>
          <w:b/>
          <w:bCs/>
          <w:color w:val="1E3A8A"/>
          <w:sz w:val="20"/>
          <w:szCs w:val="20"/>
        </w:rPr>
        <w:t xml:space="preserve">This module resolves the fundamental circular dependency in a 3-statement model: Interest ↔ Cash ↔ Cash Flow ↔ Net Income ↔ Interest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resolveCircularReferences(assumptions, yearIndex, prevIS, prevBS) operates as follows: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Starts with initial estimates: interestIncome = 0, interestExpense =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Iterates up to 100 times (configurable, tolerance = 0.01):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Calculate Depreciation from PP&amp;E schedule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Calculate Interest Expense from average total debt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Calculate Interest Income from average cash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Build complete Income Statement with these inputs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Build complete Balance Sheet (cash = plug)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Build complete Cash Flow 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Check convergence: delta = |new interest values − old interest values|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If delta &lt; tolerance → converged ✓, exit loop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Returns { incomeStatement, balanceSheet, cashFlow, converged, iterations, finalDelta }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16 Integration Checks (validateIntegration)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After convergence, the engine validates cross-statement consistency with 16 checks: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8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pct" w:w="28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Check Name</w:t>
            </w:r>
          </w:p>
        </w:tc>
        <w:tc>
          <w:tcPr>
            <w:tcW w:type="pct" w:w="64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Validation Formula</w:t>
            </w:r>
          </w:p>
        </w:tc>
      </w:tr>
      <w:tr>
        <w:tc>
          <w:tcPr>
            <w:tcW w:type="pct" w:w="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</w:t>
            </w:r>
          </w:p>
        </w:tc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Assets Balance</w:t>
            </w:r>
          </w:p>
        </w:tc>
        <w:tc>
          <w:tcPr>
            <w:tcW w:type="pct" w:w="64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Total Assets = Total Liabilities + Equity</w:t>
            </w:r>
          </w:p>
        </w:tc>
      </w:tr>
      <w:tr>
        <w:tc>
          <w:tcPr>
            <w:tcW w:type="pct" w:w="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</w:t>
            </w:r>
          </w:p>
        </w:tc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Cash Ties to CF</w:t>
            </w:r>
          </w:p>
        </w:tc>
        <w:tc>
          <w:tcPr>
            <w:tcW w:type="pct" w:w="64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CF Ending Cash ≈ BS Cash (within 0.01)</w:t>
            </w:r>
          </w:p>
        </w:tc>
      </w:tr>
      <w:tr>
        <w:tc>
          <w:tcPr>
            <w:tcW w:type="pct" w:w="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</w:t>
            </w:r>
          </w:p>
        </w:tc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Net Income Flows</w:t>
            </w:r>
          </w:p>
        </w:tc>
        <w:tc>
          <w:tcPr>
            <w:tcW w:type="pct" w:w="64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IS Net Income = CF Net Income (starting point)</w:t>
            </w:r>
          </w:p>
        </w:tc>
      </w:tr>
      <w:tr>
        <w:tc>
          <w:tcPr>
            <w:tcW w:type="pct" w:w="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</w:t>
            </w:r>
          </w:p>
        </w:tc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PP&amp;E Ties</w:t>
            </w:r>
          </w:p>
        </w:tc>
        <w:tc>
          <w:tcPr>
            <w:tcW w:type="pct" w:w="64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Net PP&amp;E = Gross PP&amp;E − Accumulated Depreciation</w:t>
            </w:r>
          </w:p>
        </w:tc>
      </w:tr>
      <w:tr>
        <w:tc>
          <w:tcPr>
            <w:tcW w:type="pct" w:w="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5</w:t>
            </w:r>
          </w:p>
        </w:tc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Retained Earnings Flow</w:t>
            </w:r>
          </w:p>
        </w:tc>
        <w:tc>
          <w:tcPr>
            <w:tcW w:type="pct" w:w="64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 = Prior RE + Net Income − Dividends</w:t>
            </w:r>
          </w:p>
        </w:tc>
      </w:tr>
      <w:tr>
        <w:tc>
          <w:tcPr>
            <w:tcW w:type="pct" w:w="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6</w:t>
            </w:r>
          </w:p>
        </w:tc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Debt Ties</w:t>
            </w:r>
          </w:p>
        </w:tc>
        <w:tc>
          <w:tcPr>
            <w:tcW w:type="pct" w:w="64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LTD = Prior LTD + Issuance − Repayment</w:t>
            </w:r>
          </w:p>
        </w:tc>
      </w:tr>
      <w:tr>
        <w:tc>
          <w:tcPr>
            <w:tcW w:type="pct" w:w="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7</w:t>
            </w:r>
          </w:p>
        </w:tc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CF Reconciliation</w:t>
            </w:r>
          </w:p>
        </w:tc>
        <w:tc>
          <w:tcPr>
            <w:tcW w:type="pct" w:w="64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Ending Cash = Beginning Cash + Net Change</w:t>
            </w:r>
          </w:p>
        </w:tc>
      </w:tr>
      <w:tr>
        <w:tc>
          <w:tcPr>
            <w:tcW w:type="pct" w:w="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8</w:t>
            </w:r>
          </w:p>
        </w:tc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Working Capital Ties</w:t>
            </w:r>
          </w:p>
        </w:tc>
        <w:tc>
          <w:tcPr>
            <w:tcW w:type="pct" w:w="64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Working Capital changes consistent with BS deltas</w:t>
            </w:r>
          </w:p>
        </w:tc>
      </w:tr>
      <w:tr>
        <w:tc>
          <w:tcPr>
            <w:tcW w:type="pct" w:w="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9</w:t>
            </w:r>
          </w:p>
        </w:tc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Total Current Assets</w:t>
            </w:r>
          </w:p>
        </w:tc>
        <w:tc>
          <w:tcPr>
            <w:tcW w:type="pct" w:w="64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Sum of individual CA items = TCA</w:t>
            </w:r>
          </w:p>
        </w:tc>
      </w:tr>
      <w:tr>
        <w:tc>
          <w:tcPr>
            <w:tcW w:type="pct" w:w="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10</w:t>
            </w:r>
          </w:p>
        </w:tc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Total Non-Current Assets</w:t>
            </w:r>
          </w:p>
        </w:tc>
        <w:tc>
          <w:tcPr>
            <w:tcW w:type="pct" w:w="64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Sum of individual NCA items = TNCA</w:t>
            </w:r>
          </w:p>
        </w:tc>
      </w:tr>
      <w:tr>
        <w:tc>
          <w:tcPr>
            <w:tcW w:type="pct" w:w="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11</w:t>
            </w:r>
          </w:p>
        </w:tc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Total Current Liabilities</w:t>
            </w:r>
          </w:p>
        </w:tc>
        <w:tc>
          <w:tcPr>
            <w:tcW w:type="pct" w:w="64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Sum of individual CL items = TCL</w:t>
            </w:r>
          </w:p>
        </w:tc>
      </w:tr>
      <w:tr>
        <w:tc>
          <w:tcPr>
            <w:tcW w:type="pct" w:w="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12</w:t>
            </w:r>
          </w:p>
        </w:tc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Total Non-Current Liabilities</w:t>
            </w:r>
          </w:p>
        </w:tc>
        <w:tc>
          <w:tcPr>
            <w:tcW w:type="pct" w:w="64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Sum of individual NCL items = TNCL</w:t>
            </w:r>
          </w:p>
        </w:tc>
      </w:tr>
      <w:tr>
        <w:tc>
          <w:tcPr>
            <w:tcW w:type="pct" w:w="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13</w:t>
            </w:r>
          </w:p>
        </w:tc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Total Equity</w:t>
            </w:r>
          </w:p>
        </w:tc>
        <w:tc>
          <w:tcPr>
            <w:tcW w:type="pct" w:w="64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Sum of equity components = Total Equity</w:t>
            </w:r>
          </w:p>
        </w:tc>
      </w:tr>
      <w:tr>
        <w:tc>
          <w:tcPr>
            <w:tcW w:type="pct" w:w="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14</w:t>
            </w:r>
          </w:p>
        </w:tc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IS Waterfall</w:t>
            </w:r>
          </w:p>
        </w:tc>
        <w:tc>
          <w:tcPr>
            <w:tcW w:type="pct" w:w="64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Revenue → COGS → Gross Profit → OpEx → EBIT → Tax → NI</w:t>
            </w:r>
          </w:p>
        </w:tc>
      </w:tr>
      <w:tr>
        <w:tc>
          <w:tcPr>
            <w:tcW w:type="pct" w:w="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15</w:t>
            </w:r>
          </w:p>
        </w:tc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EBITDA Identity</w:t>
            </w:r>
          </w:p>
        </w:tc>
        <w:tc>
          <w:tcPr>
            <w:tcW w:type="pct" w:w="64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EBITDA = EBIT + Depreciation + Amortization</w:t>
            </w:r>
          </w:p>
        </w:tc>
      </w:tr>
      <w:tr>
        <w:tc>
          <w:tcPr>
            <w:tcW w:type="pct" w:w="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16</w:t>
            </w:r>
          </w:p>
        </w:tc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APIC Consistency</w:t>
            </w:r>
          </w:p>
        </w:tc>
        <w:tc>
          <w:tcPr>
            <w:tcW w:type="pct" w:w="64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APIC = Prior APIC + SBC + Equity Issuance</w:t>
            </w:r>
          </w:p>
        </w:tc>
      </w:tr>
    </w:tbl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4.5 Integrator (integrator.ts) — Master Orchestrator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runFullModel(assumptions, historicalInputs) is the top-level function that runs the entire model: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Step 1: Build historical Income Statements from raw data arrays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Step 2: Build historical Balance Sheets from raw data arrays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Step 3: Build historical Cash Flows from IS/BS period-over-period changes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Step 4: For each projection year (0 to projectionYears-1):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Get previous period IS and BS (historical for yr=0, prior projected otherwise)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Call resolveCircularReferences() for this year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Call validateIntegration() and store results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Track convergence statistics (total iterations, max delta)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Step 5: Combine historical + projected arrays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Step 6: Calculate financial ratios for all periods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Step 7: Return ModelResults { IS[], BS[], CF[], Ratios[], IntegrationChecks[], ConvergenceInfo }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getModelSummary(results) extracts key metrics: revenue, EBITDA, NI, EPS, FCF, total debt, cash, average growth, average margin, and convergence status.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4.6 DCF Valuation Engine (dcf.ts)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Calculates intrinsic value using Discounted Cash Flow with WACC derived from CAPM and Egyptian market inputs.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calculateWACC(assumptions, results)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Cost of Equity (CAPM): ke = CBE_Rate + β × Equity_Risk_Premium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Default: 0.2725 + 1.0 × 0.07 = 34.25%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Cost of Debt (after-tax): kd = interestRate × (1 − taxRate)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Capital Structure: D/(D+E) and E/(D+E) from last projected BS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WACC = E/(D+E) × ke + D/(D+E) × kd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calculateDCF(assumptions, results)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1. Extract projected FCFs from cash flow statements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2. Discount each FCF: PV(FCF_i) = FCF_i / (1 + WACC)^i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3. Terminal Value (Gordon Growth): TV = FCF_n × (1+g) / (WACC − g)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where g = terminalGrowthRate (default 5%)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4. PV(TV) = TV / (1 + WACC)^n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5. Enterprise Value = Sum(PV of FCFs) + PV(TV)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6. Equity Bridge: Equity Value = EV − Net Debt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Net Debt = (ST Debt + LT Debt + Current LTD) − Cash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7. Implied Share Price = Equity Value / Shares Outstanding</w:t>
      </w:r>
    </w:p>
    <w:p>
      <w:pPr>
        <w:pBdr>
          <w:left w:val="single" w:color="3B82F6" w:sz="6"/>
        </w:pBdr>
        <w:shd w:fill="EFF6FF" w:color="EFF6FF" w:val="solid"/>
        <w:spacing w:before="120" w:after="120"/>
        <w:ind w:left="120"/>
      </w:pPr>
      <w:r>
        <w:rPr>
          <w:rFonts w:ascii="Calibri" w:cs="Calibri" w:eastAsia="Calibri" w:hAnsi="Calibri"/>
          <w:b/>
          <w:bCs/>
          <w:color w:val="3B82F6"/>
          <w:sz w:val="20"/>
          <w:szCs w:val="20"/>
        </w:rPr>
        <w:t xml:space="preserve">⚡ </w:t>
      </w:r>
      <w:r>
        <w:rPr>
          <w:rFonts w:ascii="Calibri" w:cs="Calibri" w:eastAsia="Calibri" w:hAnsi="Calibri"/>
          <w:b/>
          <w:bCs/>
          <w:color w:val="1E3A8A"/>
          <w:sz w:val="20"/>
          <w:szCs w:val="20"/>
        </w:rPr>
        <w:t xml:space="preserve">Returns DCFValuation with 13 fields: fcfProjections, discountedFCFs, terminalValue, pvTerminalValue, enterpriseValue, netDebt, equityValue, impliedSharePrice, wacc, costOfEquity, costOfDebt, debtWeight, equityWeight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4.7 Valuation Multiples Engine (valuation.ts)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calculateMultiples(results, assumptions)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Calculates trading multiples from engine results + optional share price. Returns null values if sharePrice is not provided.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Multiple</w:t>
            </w:r>
          </w:p>
        </w:tc>
        <w:tc>
          <w:tcPr>
            <w:tcW w:type="pct" w:w="7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Formula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P/E</w:t>
            </w:r>
          </w:p>
        </w:tc>
        <w:tc>
          <w:tcPr>
            <w:tcW w:type="pct" w:w="7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Share Price / EPS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EV/EBITDA</w:t>
            </w:r>
          </w:p>
        </w:tc>
        <w:tc>
          <w:tcPr>
            <w:tcW w:type="pct" w:w="7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(Market Cap + Net Debt) / EBITDA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Price/Book</w:t>
            </w:r>
          </w:p>
        </w:tc>
        <w:tc>
          <w:tcPr>
            <w:tcW w:type="pct" w:w="7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Share Price / (Total Equity / Shares)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FCF Yield</w:t>
            </w:r>
          </w:p>
        </w:tc>
        <w:tc>
          <w:tcPr>
            <w:tcW w:type="pct" w:w="7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FCF / Market Cap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Dividend Yield</w:t>
            </w:r>
          </w:p>
        </w:tc>
        <w:tc>
          <w:tcPr>
            <w:tcW w:type="pct" w:w="7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DPS / Share Price</w:t>
            </w:r>
          </w:p>
        </w:tc>
      </w:tr>
    </w:tbl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calculateImpliedPrices(results, benchmarks)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Calculates implied share prices from EGX 30 benchmarks: fromPE (avg P/E × EPS), fromEVEBITDA (avg EV/EBITDA × EBITDA → equity → per share), fromPB (avg P/B × BVPS).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EGX 30 Benchmarks (Q1 2026)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Multiple</w:t>
            </w:r>
          </w:p>
        </w:tc>
        <w:tc>
          <w:tcPr>
            <w:tcW w:type="pct" w:w="2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Low</w:t>
            </w:r>
          </w:p>
        </w:tc>
        <w:tc>
          <w:tcPr>
            <w:tcW w:type="pct" w:w="2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High</w:t>
            </w:r>
          </w:p>
        </w:tc>
        <w:tc>
          <w:tcPr>
            <w:tcW w:type="pct" w:w="2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Average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P/E</w:t>
            </w:r>
          </w:p>
        </w:tc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8x</w:t>
            </w:r>
          </w:p>
        </w:tc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12x</w:t>
            </w:r>
          </w:p>
        </w:tc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10x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EV/EBITDA</w:t>
            </w:r>
          </w:p>
        </w:tc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6x</w:t>
            </w:r>
          </w:p>
        </w:tc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9x</w:t>
            </w:r>
          </w:p>
        </w:tc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7.5x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Price/Book</w:t>
            </w:r>
          </w:p>
        </w:tc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1.0x</w:t>
            </w:r>
          </w:p>
        </w:tc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2.5x</w:t>
            </w:r>
          </w:p>
        </w:tc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1.6x</w:t>
            </w:r>
          </w:p>
        </w:tc>
      </w:tr>
    </w:tbl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Sector Working Capital Presets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3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Sector</w:t>
            </w:r>
          </w:p>
        </w:tc>
        <w:tc>
          <w:tcPr>
            <w:tcW w:type="pct" w:w="2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DSO</w:t>
            </w:r>
          </w:p>
        </w:tc>
        <w:tc>
          <w:tcPr>
            <w:tcW w:type="pct" w:w="2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DIO</w:t>
            </w:r>
          </w:p>
        </w:tc>
        <w:tc>
          <w:tcPr>
            <w:tcW w:type="pct" w:w="2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DPO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Technology / Software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45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0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30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Manufacturing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60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45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60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Retail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15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60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45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Government Contractor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90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45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60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Export-Oriented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45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30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30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Real Estate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180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0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90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5. Financial Ratios (ratios.ts)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calculateFinancialRatios(is, bs, prevBS) computes 23 ratios using current-period IS and BS data with average balances where appropriate: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pct" w:w="4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Ratios</w:t>
            </w:r>
          </w:p>
        </w:tc>
        <w:tc>
          <w:tcPr>
            <w:tcW w:type="pct" w:w="3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Profitability</w:t>
            </w:r>
          </w:p>
        </w:tc>
        <w:tc>
          <w:tcPr>
            <w:tcW w:type="pct" w:w="4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Gross Margin, Operating Margin, Net Margin, ROE, ROA, ROIC</w:t>
            </w:r>
          </w:p>
        </w:tc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ROE/ROA use average balances; ROIC = NOPAT / avg invested capital</w:t>
            </w:r>
          </w:p>
        </w:tc>
      </w:tr>
      <w:tr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Liquidity</w:t>
            </w:r>
          </w:p>
        </w:tc>
        <w:tc>
          <w:tcPr>
            <w:tcW w:type="pct" w:w="4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Current Ratio, Quick Ratio, Cash Ratio</w:t>
            </w:r>
          </w:p>
        </w:tc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Standard formulas</w:t>
            </w:r>
          </w:p>
        </w:tc>
      </w:tr>
      <w:tr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Leverage</w:t>
            </w:r>
          </w:p>
        </w:tc>
        <w:tc>
          <w:tcPr>
            <w:tcW w:type="pct" w:w="4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Debt-to-Equity, Debt-to-Assets, Interest Coverage</w:t>
            </w:r>
          </w:p>
        </w:tc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Total Debt = ST + LT + Current LTD; Coverage = EBIT/IntExp</w:t>
            </w:r>
          </w:p>
        </w:tc>
      </w:tr>
      <w:tr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Efficiency</w:t>
            </w:r>
          </w:p>
        </w:tc>
        <w:tc>
          <w:tcPr>
            <w:tcW w:type="pct" w:w="4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Asset Turnover, Inventory Turnover, Receivables Turnover, DSO, DIO, DPO, CCC</w:t>
            </w:r>
          </w:p>
        </w:tc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CCC = DSO + DIO − DPO</w:t>
            </w:r>
          </w:p>
        </w:tc>
      </w:tr>
    </w:tbl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6. Analysis Tools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6.1 Sensitivity Analysis (sensitivity.ts)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oneWaySensitivity(baseAssumptions, historicalInputs, variable, range, outputMetric) — Varies one assumption across a range of values, runs the full model for each, and returns the output metric values. Supports array assumptions (applies sampled value uniformly).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twoWaySensitivity(..., variable1, range1, variable2, range2, outputMetric) — Varies two assumptions simultaneously, produces an NxN matrix of output values.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generateRange(baseValue, steps, stepSize) — Generates a centered range: base ± steps × stepSize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Output metrics supported: revenue, ebitda, netIncome, eps, fcf, roe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6.2 Monte Carlo Simulation (monte-carlo.ts)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4 distribution types: Normal (Box-Muller transform), Uniform, Triangular, Lognormal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runMonteCarloSimulation() — Runs N iterations (default 10,000), sampling from configured distributions, perturbing assumptions, and capturing all output metrics. Failed iterations (convergence failures) are silently skipped.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Statistics computed: mean, median, standard deviation, p10, p25, p50, p75, p90, min, max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Default config: revenue growth rate (normal μ=7%, σ=3%), COGS% (normal μ=60%, σ=3%), interest rate (uniform 3%-8%). Output metrics: netIncome, fcf, eps.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6.3 Scenario Manager (scenario-manager.ts)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3 pre-defined scenarios: Base Case (moderate growth, stable margins), Optimistic (high growth, margin expansion), Conservative (slow growth, margin pressure)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CRUD operations: createScenario(), duplicateScenario(), updateScenarioAssumption() (supports nested paths like revenueGrowthRate[0]), deleteScenario()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compareScenarios() — Returns side-by-side comparison for all calculated scenarios: revenue, EBITDA, NI, EPS, FCF, total debt, cash, ROE</w:t>
      </w:r>
    </w:p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7. State Management (store.ts) — 548 lines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Zustand store (v4) with localStorage persistence via zustand/middleware/persist. 20+ actions with GLOBAL_KEYS sync: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State Field</w:t>
            </w:r>
          </w:p>
        </w:tc>
        <w:tc>
          <w:tcPr>
            <w:tcW w:type="pct" w:w="6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companyName, ticker, industry, currency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Company metadata fields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country, fiscalYearEnd, valuationDate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Localization and dating fields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historicalInputs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Array-format historical data (engine format)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historicalData[]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Per-year historical data objects (UI format)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scenarios[]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All scenarios with their assumption sets and results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activeScenarioId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Currently selected scenario UUID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activeTab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Current navigation tab (19 possible values)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isDarkMode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Dark mode toggle state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undoStack[] / redoStack[]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Assumption change history for undo/redo (50-entry cap)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errors[] / warnings[]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Current validation messages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calculationError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Error message from last failed calculation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cellOverrides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Manual cell value overrides keyed by scenarioId_rowKey_period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dataVersion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Incremented on each recalculation for change detection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conflictDetected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Multi-tab localStorage conflict flag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sidebarOpen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Sidebar collapsed/expanded state</w:t>
            </w:r>
          </w:p>
        </w:tc>
      </w:tr>
    </w:tbl>
    <w:p>
      <w:pPr>
        <w:spacing w:after="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pct" w:w="6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setCompanyInfo()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Update company metadata (name, ticker, currency, country, fiscal year, valuation date)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setHistoricalData(data)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Set per-year data → auto-convert to engine format → recalculate all scenarios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updateAssumption(path, value)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Update any assumption; handles array indexing like revenueGrowthRate[0]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addScenario() / deleteScenario()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Create or remove scenarios (min 1 scenario enforced)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duplicateScenario(id, name)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Clone an existing scenario with a new name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calculateModel()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Runs runFullModel() for active scenario; captures warnings (&gt;95% margin, &lt;-50% NI)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calculateAllScenarios()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Syncs GLOBAL_KEYS from Base Case → all scenarios, then runs model for each independently (failures don't block others)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undo() / redo()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Assumption-level undo/redo → auto-recalculates after restore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resetToDefaults()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Full state reset to demo company data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setCountryPreset(preset)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Applies US / Egyptian / Custom tax, VAT, CBE rates, depreciation, fiscal year to ALL scenarios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setCellOverride()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Manual cell value override for specific scenario/row/period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dismissConflict()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Dismiss multi-tab conflict notification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toggleDarkMode() / setSidebarOpen()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UI toggle actions</w:t>
            </w:r>
          </w:p>
        </w:tc>
      </w:tr>
    </w:tbl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7.1 GLOBAL_KEYS Sync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calculateAllScenarios() syncs these keys from Base Case to all other scenarios before computing: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taxRate, taxRegime, vatRate, enableVAT, dividendWithholdingRate,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dividendWithholdingTaxRate, isEGXListed, useEgyptianRates, countryPreset,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fiscalYearPreset, fiscalYearEnd, projectionYears, historicalYears,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cbeRate, riskFreeRate, legacyDebtRate, employeeProfitSharingRate,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enableEmployeeProfitShare, enableTaxLossCarryforward, taxLossCarryforwardYears,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enableLegalReserve, legalReservePercent, paidUpCapital, legalReserveCap,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depreciationMethod, enableEndOfServiceBenefit,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interestRateOnDebt, interestRateOnCash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7.2 Persistence &amp; Migration (v4)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Persisted fields (via partialize): companyName, ticker, industry, currency, country, fiscalYearEnd, valuationDate, historicalData, historicalInputs, scenarios, activeScenarioId, isDarkMode.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v4 migration handles: scalar→array interest rate conversion, CBE rate defaults, tax regime sync (forces correct rate per regime), interest rate floor resets (US→Egypt), startYear 2025→2026, historical years 2023/2024→2024/2025.</w:t>
      </w:r>
    </w:p>
    <w:p>
      <w:r>
        <w:br w:type="page"/>
      </w:r>
    </w:p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8. Export Layer (lib/export/)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8.1 Excel Export (excel.ts + 4 sub-modules) — 4,200+ lines</w:t>
      </w:r>
    </w:p>
    <w:p>
      <w:pPr>
        <w:pBdr>
          <w:left w:val="single" w:color="3B82F6" w:sz="6"/>
        </w:pBdr>
        <w:shd w:fill="EFF6FF" w:color="EFF6FF" w:val="solid"/>
        <w:spacing w:before="120" w:after="120"/>
        <w:ind w:left="120"/>
      </w:pPr>
      <w:r>
        <w:rPr>
          <w:rFonts w:ascii="Calibri" w:cs="Calibri" w:eastAsia="Calibri" w:hAnsi="Calibri"/>
          <w:b/>
          <w:bCs/>
          <w:color w:val="3B82F6"/>
          <w:sz w:val="20"/>
          <w:szCs w:val="20"/>
        </w:rPr>
        <w:t xml:space="preserve">⚡ </w:t>
      </w:r>
      <w:r>
        <w:rPr>
          <w:rFonts w:ascii="Calibri" w:cs="Calibri" w:eastAsia="Calibri" w:hAnsi="Calibri"/>
          <w:b/>
          <w:bCs/>
          <w:color w:val="1E3A8A"/>
          <w:sz w:val="20"/>
          <w:szCs w:val="20"/>
        </w:rPr>
        <w:t xml:space="preserve">Generates a 9-tab Excel workbook where every single calculation cell contains a LIVE FORMULA — no hard-coded computed values.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Tab Name</w:t>
            </w:r>
          </w:p>
        </w:tc>
        <w:tc>
          <w:tcPr>
            <w:tcW w:type="pct" w:w="22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Builder Module</w:t>
            </w:r>
          </w:p>
        </w:tc>
        <w:tc>
          <w:tcPr>
            <w:tcW w:type="pct" w:w="56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Content Description</w:t>
            </w:r>
          </w:p>
        </w:tc>
      </w:tr>
      <w:tr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Company Info</w:t>
            </w:r>
          </w:p>
        </w:tc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build-company-info.ts</w:t>
            </w:r>
          </w:p>
        </w:tc>
        <w:tc>
          <w:tcPr>
            <w:tcW w:type="pct" w:w="56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 sections: company ID, model config, Egypt regulatory/tax, report/preparer info</w:t>
            </w:r>
          </w:p>
        </w:tc>
      </w:tr>
      <w:tr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Summary Dashboard</w:t>
            </w:r>
          </w:p>
        </w:tc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build-dashboard.ts</w:t>
            </w:r>
          </w:p>
        </w:tc>
        <w:tc>
          <w:tcPr>
            <w:tcW w:type="pct" w:w="56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Scenario switcher dropdown with IF()-formula metric rows that change dynamically</w:t>
            </w:r>
          </w:p>
        </w:tc>
      </w:tr>
      <w:tr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Scenarios</w:t>
            </w:r>
          </w:p>
        </w:tc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build-scenarios.ts</w:t>
            </w:r>
          </w:p>
        </w:tc>
        <w:tc>
          <w:tcPr>
            <w:tcW w:type="pct" w:w="56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 side-by-side scenario blocks (Base / Optimistic / Conservative) with 40+ assumption rows each</w:t>
            </w:r>
          </w:p>
        </w:tc>
      </w:tr>
      <w:tr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Assumptions</w:t>
            </w:r>
          </w:p>
        </w:tc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excel.ts (main)</w:t>
            </w:r>
          </w:p>
        </w:tc>
        <w:tc>
          <w:tcPr>
            <w:tcW w:type="pct" w:w="56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40+ assumption rows — the editable inputs that drive all formula tabs</w:t>
            </w:r>
          </w:p>
        </w:tc>
      </w:tr>
      <w:tr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Income Statement</w:t>
            </w:r>
          </w:p>
        </w:tc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excel.ts (main)</w:t>
            </w:r>
          </w:p>
        </w:tc>
        <w:tc>
          <w:tcPr>
            <w:tcW w:type="pct" w:w="56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Full Revenue → EPS waterfall with formulas referencing Assumptions tab</w:t>
            </w:r>
          </w:p>
        </w:tc>
      </w:tr>
      <w:tr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Balance Sheet</w:t>
            </w:r>
          </w:p>
        </w:tc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excel.ts (main)</w:t>
            </w:r>
          </w:p>
        </w:tc>
        <w:tc>
          <w:tcPr>
            <w:tcW w:type="pct" w:w="56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Full A = L + E with Cash as a plug formula</w:t>
            </w:r>
          </w:p>
        </w:tc>
      </w:tr>
      <w:tr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Cash Flow Statement</w:t>
            </w:r>
          </w:p>
        </w:tc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excel.ts (main)</w:t>
            </w:r>
          </w:p>
        </w:tc>
        <w:tc>
          <w:tcPr>
            <w:tcW w:type="pct" w:w="56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Indirect method CF with formulas referencing IS and BS tabs</w:t>
            </w:r>
          </w:p>
        </w:tc>
      </w:tr>
      <w:tr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Ratios</w:t>
            </w:r>
          </w:p>
        </w:tc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excel.ts (main)</w:t>
            </w:r>
          </w:p>
        </w:tc>
        <w:tc>
          <w:tcPr>
            <w:tcW w:type="pct" w:w="56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Profitability, Liquidity, Leverage, Efficiency — all formula-driven</w:t>
            </w:r>
          </w:p>
        </w:tc>
      </w:tr>
      <w:tr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_Calc_Base/Opt/Con</w:t>
            </w:r>
          </w:p>
        </w:tc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build-calc-sheets.ts</w:t>
            </w:r>
          </w:p>
        </w:tc>
        <w:tc>
          <w:tcPr>
            <w:tcW w:type="pct" w:w="56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 hidden sheets with IS/BS/CF formula replicas per scenario (90 rows each)</w:t>
            </w:r>
          </w:p>
        </w:tc>
      </w:tr>
    </w:tbl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Export Sub-Modules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build-company-info.ts (131 lines) — Company metadata, regulatory defaults, color-coded editable vs auto-computed cells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build-scenarios.ts (445 lines) — Builds all assumption arrays per scenario; maps ROW_SPECS keys to row positions for cross-sheet references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build-calc-sheets.ts (707 lines) — Creates hidden formula sheets (_Calc_Base, _Calc_Opt, _Calc_Con) with 90-row IS/BS/CF replicas that reference the Scenarios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build-dashboard.ts (397 lines) — Scenario comparison with IF() formulas switching between scenario calc sheets based on a dropdown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Key Excel Architecture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Historical vs Projected visual styling — historical columns have blue tint, vertical separator border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Back-computed assumptions — historical DSO, DIO, DPO are reverse-calculated from actual BS/IS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Cash plug formula: Cash = Total L+E − AR − Inventory − Prepaid − OCA − Total NCA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Balance check row: IF(ABS(TotalAssets − TotalL&amp;E) &lt; 1, "✓ Balanced", "✗ Imbalanced")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CF reconciliation: IF(ABS(EndingCash − BS.Cash) &lt; 0.01, "✓ Reconciles", "✗ Error")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Zebra-striping and negative-value red formatting applied automatically via applyZebraAndNegatives()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8.2 PDF Export (pdf.ts) — 49 KB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Multi-page professional report with cover page (company name, ticker, industry, generation date)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Income Statement, Balance Sheet, Cash Flow tables rendered via jsPDF AutoTable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Ratio analysis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Supports Egyptian locale with bilingual headers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8.3 CSV / JSON Export (csv-json.ts)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Plain data export in CSV and JSON formats for integration with external tools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Includes all statement data in structured format</w:t>
      </w:r>
    </w:p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9. Internationalization &amp; Egyptian Localization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9.1 Bilingual Labels (i18n/labels.ts)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80+ financial line items with English/Arabic label pairs covering Income Statement, Balance Sheet, Cash Flow, Ratios, and Egyptian-specific terms: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revenue:            { en: 'Revenue',              ar: 'الإيرادات' }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accountsReceivable: { en: 'Accounts Receivable',  ar: 'المدينون' }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netIncome:          { en: 'Net Income',            ar: 'صافي الربح' }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vatRate:            { en: 'VAT Rate',              ar: 'معدل ضريبة القيمة المضافة' }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corporateTaxRate:   { en: 'Corporate Tax Rate',    ar: 'معدل الضريبة على الشركات' }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getLabel(key, language) function retrieves the appropriate label with English fallback.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9.2 Egyptian Depreciation Schedules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Egyptian tax law prescribes specific depreciation rate ranges per asset class: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Asset Class</w:t>
            </w:r>
          </w:p>
        </w:tc>
        <w:tc>
          <w:tcPr>
            <w:tcW w:type="pct" w:w="2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Arabic Name</w:t>
            </w:r>
          </w:p>
        </w:tc>
        <w:tc>
          <w:tcPr>
            <w:tcW w:type="pct" w:w="1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Min Rate</w:t>
            </w:r>
          </w:p>
        </w:tc>
        <w:tc>
          <w:tcPr>
            <w:tcW w:type="pct" w:w="1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Max Rate</w:t>
            </w:r>
          </w:p>
        </w:tc>
        <w:tc>
          <w:tcPr>
            <w:tcW w:type="pct" w:w="1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Typical Rate</w:t>
            </w:r>
          </w:p>
        </w:tc>
      </w:tr>
      <w:tr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Buildings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مباني</w:t>
            </w:r>
          </w:p>
        </w:tc>
        <w:tc>
          <w:tcPr>
            <w:tcW w:type="pct" w:w="1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2%</w:t>
            </w:r>
          </w:p>
        </w:tc>
        <w:tc>
          <w:tcPr>
            <w:tcW w:type="pct" w:w="1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5%</w:t>
            </w:r>
          </w:p>
        </w:tc>
        <w:tc>
          <w:tcPr>
            <w:tcW w:type="pct" w:w="1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4%</w:t>
            </w:r>
          </w:p>
        </w:tc>
      </w:tr>
      <w:tr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Machinery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آلات</w:t>
            </w:r>
          </w:p>
        </w:tc>
        <w:tc>
          <w:tcPr>
            <w:tcW w:type="pct" w:w="1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7%</w:t>
            </w:r>
          </w:p>
        </w:tc>
        <w:tc>
          <w:tcPr>
            <w:tcW w:type="pct" w:w="1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10%</w:t>
            </w:r>
          </w:p>
        </w:tc>
        <w:tc>
          <w:tcPr>
            <w:tcW w:type="pct" w:w="1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8%</w:t>
            </w:r>
          </w:p>
        </w:tc>
      </w:tr>
      <w:tr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Vehicles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مركبات</w:t>
            </w:r>
          </w:p>
        </w:tc>
        <w:tc>
          <w:tcPr>
            <w:tcW w:type="pct" w:w="1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12.5%</w:t>
            </w:r>
          </w:p>
        </w:tc>
        <w:tc>
          <w:tcPr>
            <w:tcW w:type="pct" w:w="1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25%</w:t>
            </w:r>
          </w:p>
        </w:tc>
        <w:tc>
          <w:tcPr>
            <w:tcW w:type="pct" w:w="1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20%</w:t>
            </w:r>
          </w:p>
        </w:tc>
      </w:tr>
      <w:tr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Computers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حاسبات</w:t>
            </w:r>
          </w:p>
        </w:tc>
        <w:tc>
          <w:tcPr>
            <w:tcW w:type="pct" w:w="1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25%</w:t>
            </w:r>
          </w:p>
        </w:tc>
        <w:tc>
          <w:tcPr>
            <w:tcW w:type="pct" w:w="1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33%</w:t>
            </w:r>
          </w:p>
        </w:tc>
        <w:tc>
          <w:tcPr>
            <w:tcW w:type="pct" w:w="1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33%</w:t>
            </w:r>
          </w:p>
        </w:tc>
      </w:tr>
      <w:tr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Furniture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أثاث</w:t>
            </w:r>
          </w:p>
        </w:tc>
        <w:tc>
          <w:tcPr>
            <w:tcW w:type="pct" w:w="1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10%</w:t>
            </w:r>
          </w:p>
        </w:tc>
        <w:tc>
          <w:tcPr>
            <w:tcW w:type="pct" w:w="1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20%</w:t>
            </w:r>
          </w:p>
        </w:tc>
        <w:tc>
          <w:tcPr>
            <w:tcW w:type="pct" w:w="1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15%</w:t>
            </w:r>
          </w:p>
        </w:tc>
      </w:tr>
    </w:tbl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calculateEgyptianBlendedRate(breakdown) computes a weighted-average depreciation rate from the asset-class mix.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Egyptian defaults: Corporate tax 22.5%, VAT 14%, Dividend withholding 10%.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Fiscal year presets: Calendar (January-December), Egyptian Government (July-June), Custom.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9.3 Egyptian Industry Templates (templates/egyptian-industries.ts)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5 pre-configured sector templates with bilingual names and typical assumption profiles: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Sector</w:t>
            </w:r>
          </w:p>
        </w:tc>
        <w:tc>
          <w:tcPr>
            <w:tcW w:type="pct" w:w="14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Arabic</w:t>
            </w:r>
          </w:p>
        </w:tc>
        <w:tc>
          <w:tcPr>
            <w:tcW w:type="pct" w:w="7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Growth</w:t>
            </w:r>
          </w:p>
        </w:tc>
        <w:tc>
          <w:tcPr>
            <w:tcW w:type="pct" w:w="6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GM</w:t>
            </w:r>
          </w:p>
        </w:tc>
        <w:tc>
          <w:tcPr>
            <w:tcW w:type="pct" w:w="7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SG&amp;A</w:t>
            </w:r>
          </w:p>
        </w:tc>
        <w:tc>
          <w:tcPr>
            <w:tcW w:type="pct" w:w="7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DSO</w:t>
            </w:r>
          </w:p>
        </w:tc>
        <w:tc>
          <w:tcPr>
            <w:tcW w:type="pct" w:w="7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DIO</w:t>
            </w:r>
          </w:p>
        </w:tc>
        <w:tc>
          <w:tcPr>
            <w:tcW w:type="pct" w:w="7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DPO</w:t>
            </w:r>
          </w:p>
        </w:tc>
        <w:tc>
          <w:tcPr>
            <w:tcW w:type="pct" w:w="7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CapEx%</w:t>
            </w:r>
          </w:p>
        </w:tc>
      </w:tr>
      <w:tr>
        <w:tc>
          <w:tcPr>
            <w:tcW w:type="pct" w:w="1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Real Estate &amp; Construction</w:t>
            </w:r>
          </w:p>
        </w:tc>
        <w:tc>
          <w:tcPr>
            <w:tcW w:type="pct" w:w="14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العقارات والبناء</w:t>
            </w:r>
          </w:p>
        </w:tc>
        <w:tc>
          <w:tcPr>
            <w:tcW w:type="pct" w:w="7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15%</w:t>
            </w:r>
          </w:p>
        </w:tc>
        <w:tc>
          <w:tcPr>
            <w:tcW w:type="pct" w:w="6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35%</w:t>
            </w:r>
          </w:p>
        </w:tc>
        <w:tc>
          <w:tcPr>
            <w:tcW w:type="pct" w:w="7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8%</w:t>
            </w:r>
          </w:p>
        </w:tc>
        <w:tc>
          <w:tcPr>
            <w:tcW w:type="pct" w:w="7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90</w:t>
            </w:r>
          </w:p>
        </w:tc>
        <w:tc>
          <w:tcPr>
            <w:tcW w:type="pct" w:w="7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60</w:t>
            </w:r>
          </w:p>
        </w:tc>
        <w:tc>
          <w:tcPr>
            <w:tcW w:type="pct" w:w="7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75</w:t>
            </w:r>
          </w:p>
        </w:tc>
        <w:tc>
          <w:tcPr>
            <w:tcW w:type="pct" w:w="7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3%</w:t>
            </w:r>
          </w:p>
        </w:tc>
      </w:tr>
      <w:tr>
        <w:tc>
          <w:tcPr>
            <w:tcW w:type="pct" w:w="1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FMCG / Consumer Goods</w:t>
            </w:r>
          </w:p>
        </w:tc>
        <w:tc>
          <w:tcPr>
            <w:tcW w:type="pct" w:w="14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سلع استهلاكية</w:t>
            </w:r>
          </w:p>
        </w:tc>
        <w:tc>
          <w:tcPr>
            <w:tcW w:type="pct" w:w="7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12%</w:t>
            </w:r>
          </w:p>
        </w:tc>
        <w:tc>
          <w:tcPr>
            <w:tcW w:type="pct" w:w="6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30%</w:t>
            </w:r>
          </w:p>
        </w:tc>
        <w:tc>
          <w:tcPr>
            <w:tcW w:type="pct" w:w="7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12%</w:t>
            </w:r>
          </w:p>
        </w:tc>
        <w:tc>
          <w:tcPr>
            <w:tcW w:type="pct" w:w="7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30</w:t>
            </w:r>
          </w:p>
        </w:tc>
        <w:tc>
          <w:tcPr>
            <w:tcW w:type="pct" w:w="7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45</w:t>
            </w:r>
          </w:p>
        </w:tc>
        <w:tc>
          <w:tcPr>
            <w:tcW w:type="pct" w:w="7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40</w:t>
            </w:r>
          </w:p>
        </w:tc>
        <w:tc>
          <w:tcPr>
            <w:tcW w:type="pct" w:w="7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5%</w:t>
            </w:r>
          </w:p>
        </w:tc>
      </w:tr>
      <w:tr>
        <w:tc>
          <w:tcPr>
            <w:tcW w:type="pct" w:w="1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Telecom &amp; Technology</w:t>
            </w:r>
          </w:p>
        </w:tc>
        <w:tc>
          <w:tcPr>
            <w:tcW w:type="pct" w:w="14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اتصالات وتكنولوجيا</w:t>
            </w:r>
          </w:p>
        </w:tc>
        <w:tc>
          <w:tcPr>
            <w:tcW w:type="pct" w:w="7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10%</w:t>
            </w:r>
          </w:p>
        </w:tc>
        <w:tc>
          <w:tcPr>
            <w:tcW w:type="pct" w:w="6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55%</w:t>
            </w:r>
          </w:p>
        </w:tc>
        <w:tc>
          <w:tcPr>
            <w:tcW w:type="pct" w:w="7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15%</w:t>
            </w:r>
          </w:p>
        </w:tc>
        <w:tc>
          <w:tcPr>
            <w:tcW w:type="pct" w:w="7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35</w:t>
            </w:r>
          </w:p>
        </w:tc>
        <w:tc>
          <w:tcPr>
            <w:tcW w:type="pct" w:w="7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5</w:t>
            </w:r>
          </w:p>
        </w:tc>
        <w:tc>
          <w:tcPr>
            <w:tcW w:type="pct" w:w="7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50</w:t>
            </w:r>
          </w:p>
        </w:tc>
        <w:tc>
          <w:tcPr>
            <w:tcW w:type="pct" w:w="7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15%</w:t>
            </w:r>
          </w:p>
        </w:tc>
      </w:tr>
      <w:tr>
        <w:tc>
          <w:tcPr>
            <w:tcW w:type="pct" w:w="1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Petrochemicals &amp; Energy</w:t>
            </w:r>
          </w:p>
        </w:tc>
        <w:tc>
          <w:tcPr>
            <w:tcW w:type="pct" w:w="14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بتروكيماويات وطاقة</w:t>
            </w:r>
          </w:p>
        </w:tc>
        <w:tc>
          <w:tcPr>
            <w:tcW w:type="pct" w:w="7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8%</w:t>
            </w:r>
          </w:p>
        </w:tc>
        <w:tc>
          <w:tcPr>
            <w:tcW w:type="pct" w:w="6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25%</w:t>
            </w:r>
          </w:p>
        </w:tc>
        <w:tc>
          <w:tcPr>
            <w:tcW w:type="pct" w:w="7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6%</w:t>
            </w:r>
          </w:p>
        </w:tc>
        <w:tc>
          <w:tcPr>
            <w:tcW w:type="pct" w:w="7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45</w:t>
            </w:r>
          </w:p>
        </w:tc>
        <w:tc>
          <w:tcPr>
            <w:tcW w:type="pct" w:w="7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30</w:t>
            </w:r>
          </w:p>
        </w:tc>
        <w:tc>
          <w:tcPr>
            <w:tcW w:type="pct" w:w="7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45</w:t>
            </w:r>
          </w:p>
        </w:tc>
        <w:tc>
          <w:tcPr>
            <w:tcW w:type="pct" w:w="7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8%</w:t>
            </w:r>
          </w:p>
        </w:tc>
      </w:tr>
      <w:tr>
        <w:tc>
          <w:tcPr>
            <w:tcW w:type="pct" w:w="1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Tourism &amp; Hospitality</w:t>
            </w:r>
          </w:p>
        </w:tc>
        <w:tc>
          <w:tcPr>
            <w:tcW w:type="pct" w:w="14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سياحة وضيافة</w:t>
            </w:r>
          </w:p>
        </w:tc>
        <w:tc>
          <w:tcPr>
            <w:tcW w:type="pct" w:w="7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18%</w:t>
            </w:r>
          </w:p>
        </w:tc>
        <w:tc>
          <w:tcPr>
            <w:tcW w:type="pct" w:w="6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45%</w:t>
            </w:r>
          </w:p>
        </w:tc>
        <w:tc>
          <w:tcPr>
            <w:tcW w:type="pct" w:w="7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20%</w:t>
            </w:r>
          </w:p>
        </w:tc>
        <w:tc>
          <w:tcPr>
            <w:tcW w:type="pct" w:w="7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15</w:t>
            </w:r>
          </w:p>
        </w:tc>
        <w:tc>
          <w:tcPr>
            <w:tcW w:type="pct" w:w="7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10</w:t>
            </w:r>
          </w:p>
        </w:tc>
        <w:tc>
          <w:tcPr>
            <w:tcW w:type="pct" w:w="7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25</w:t>
            </w:r>
          </w:p>
        </w:tc>
        <w:tc>
          <w:tcPr>
            <w:tcW w:type="pct" w:w="7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6%</w:t>
            </w:r>
          </w:p>
        </w:tc>
      </w:tr>
    </w:tbl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Each template also includes a sector-specific asset-class mix (buildings/machinery/vehicles/computers/furniture) for Egyptian depreciation calculations. Use getTemplate(id) to retrieve.</w:t>
      </w:r>
    </w:p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10. Utility Functions (utils.ts)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Function</w:t>
            </w:r>
          </w:p>
        </w:tc>
        <w:tc>
          <w:tcPr>
            <w:tcW w:type="pct" w:w="6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formatCurrency(value, currency, compact)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Multi-currency formatting. ALWAYS uses en-US locale to ensure English numerals (0-9), never Arabic (٠-٩). Supports compact mode ($1.2M, $340K).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formatPercent(value, decimals)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Percentage formatting (e.g., "15.2%")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formatNumber(value, decimals)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Number formatting with en-US locale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formatEPS(value, currency)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EPS formatted with appropriate currency symbol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colorForValue(value)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Returns CSS color: green (&gt;0), red (&lt;0), or neutral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cn(...classes)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CSS class name joiner (filters falsy values)</w:t>
            </w:r>
          </w:p>
        </w:tc>
      </w:tr>
    </w:tbl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Supported currencies: USD ($), EGP (E£), EUR (€), GBP (£), SAR (SR), AED (AED).</w:t>
      </w:r>
    </w:p>
    <w:p>
      <w:r>
        <w:br w:type="page"/>
      </w:r>
    </w:p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11. UI Components (27 total)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11.1 Core Pages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pct" w:w="1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Lines</w:t>
            </w:r>
          </w:p>
        </w:tc>
        <w:tc>
          <w:tcPr>
            <w:tcW w:type="pct" w:w="62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Sidebar.tsx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~400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Navigation (19 tabs), Calculate button, Export buttons (Excel/PDF/CSV/JSON), dark mode toggle</w:t>
            </w:r>
          </w:p>
        </w:tc>
      </w:tr>
      <w:tr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Dashboard.tsx</w:t>
            </w:r>
          </w:p>
        </w:tc>
        <w:tc>
          <w:tcPr>
            <w:tcW w:type="pct" w:w="1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~500</w:t>
            </w:r>
          </w:p>
        </w:tc>
        <w:tc>
          <w:tcPr>
            <w:tcW w:type="pct" w:w="6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KPI cards (Revenue, EBITDA, NI, EPS, FCF), Scenario comparison table with delta vs base case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ModelPage.tsx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~250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Assumptions editor — all 60+ fields organized in collapsible sections by category</w:t>
            </w:r>
          </w:p>
        </w:tc>
      </w:tr>
      <w:tr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ValidationPage.tsx</w:t>
            </w:r>
          </w:p>
        </w:tc>
        <w:tc>
          <w:tcPr>
            <w:tcW w:type="pct" w:w="1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~280</w:t>
            </w:r>
          </w:p>
        </w:tc>
        <w:tc>
          <w:tcPr>
            <w:tcW w:type="pct" w:w="6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Displays 80+ integration checks (16 checks × projection years) with pass/fail indicators</w:t>
            </w:r>
          </w:p>
        </w:tc>
      </w:tr>
    </w:tbl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11.2 Financial Statement Views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pct" w:w="1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Lines</w:t>
            </w:r>
          </w:p>
        </w:tc>
        <w:tc>
          <w:tcPr>
            <w:tcW w:type="pct" w:w="62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IncomeStatementPage.tsx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~230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Full IS table with historical columns (blue tint) and projected columns</w:t>
            </w:r>
          </w:p>
        </w:tc>
      </w:tr>
      <w:tr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BalanceSheetPage.tsx</w:t>
            </w:r>
          </w:p>
        </w:tc>
        <w:tc>
          <w:tcPr>
            <w:tcW w:type="pct" w:w="1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~250</w:t>
            </w:r>
          </w:p>
        </w:tc>
        <w:tc>
          <w:tcPr>
            <w:tcW w:type="pct" w:w="6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Assets, Liabilities, Equity sections with balance check indicator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CashFlowPage.tsx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~250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CFO/CFI/CFF sections with reconciliation indicator at bottom</w:t>
            </w:r>
          </w:p>
        </w:tc>
      </w:tr>
      <w:tr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RatiosPage.tsx</w:t>
            </w:r>
          </w:p>
        </w:tc>
        <w:tc>
          <w:tcPr>
            <w:tcW w:type="pct" w:w="1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151</w:t>
            </w:r>
          </w:p>
        </w:tc>
        <w:tc>
          <w:tcPr>
            <w:tcW w:type="pct" w:w="6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Financial ratios dashboard with color-coded thresholds (good/bad indicators)</w:t>
            </w:r>
          </w:p>
        </w:tc>
      </w:tr>
    </w:tbl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11.3 Supporting Schedules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pct" w:w="1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Lines</w:t>
            </w:r>
          </w:p>
        </w:tc>
        <w:tc>
          <w:tcPr>
            <w:tcW w:type="pct" w:w="62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WorkingCapitalPage.tsx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~380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DSO/DIO/DPO metrics, NWC build, NWC as % of Revenue analysis</w:t>
            </w:r>
          </w:p>
        </w:tc>
      </w:tr>
      <w:tr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DepreciationPage.tsx</w:t>
            </w:r>
          </w:p>
        </w:tc>
        <w:tc>
          <w:tcPr>
            <w:tcW w:type="pct" w:w="1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~290</w:t>
            </w:r>
          </w:p>
        </w:tc>
        <w:tc>
          <w:tcPr>
            <w:tcW w:type="pct" w:w="6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Gross PP&amp;E rollforward, Egyptian asset-class mix sliders for blended rate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DebtSchedulePage.tsx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~320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Debt issuance/repayment timeline, beginning/ending balances, interest calc</w:t>
            </w:r>
          </w:p>
        </w:tc>
      </w:tr>
    </w:tbl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11.4 Valuation &amp; Analysis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pct" w:w="1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Lines</w:t>
            </w:r>
          </w:p>
        </w:tc>
        <w:tc>
          <w:tcPr>
            <w:tcW w:type="pct" w:w="62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DCFPage.tsx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215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DCF valuation: WACC breakdown, FCF discounting table, terminal value, equity bridge, implied share price, WACC sensitivity matrix</w:t>
            </w:r>
          </w:p>
        </w:tc>
      </w:tr>
      <w:tr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ValuationPage.tsx</w:t>
            </w:r>
          </w:p>
        </w:tc>
        <w:tc>
          <w:tcPr>
            <w:tcW w:type="pct" w:w="1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187</w:t>
            </w:r>
          </w:p>
        </w:tc>
        <w:tc>
          <w:tcPr>
            <w:tcW w:type="pct" w:w="6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Trading multiples (P/E, EV/EBITDA, P/B, FCF Yield, Dividend Yield), EGX 30 benchmark comparison bar chart, implied share prices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CBEMetricsPage.tsx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219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Central Bank of Egypt regulatory metrics: Debt/EBITDA, Interest Coverage, Debt Service Coverage, Current Ratio, Net Debt/Equity with CBE threshold pass/fail indicators (policy rate 27.25%)</w:t>
            </w:r>
          </w:p>
        </w:tc>
      </w:tr>
      <w:tr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SensitivityPage.tsx</w:t>
            </w:r>
          </w:p>
        </w:tc>
        <w:tc>
          <w:tcPr>
            <w:tcW w:type="pct" w:w="1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~210</w:t>
            </w:r>
          </w:p>
        </w:tc>
        <w:tc>
          <w:tcPr>
            <w:tcW w:type="pct" w:w="6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Tornado chart visualization + data table with one-way sensitivity results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MonteCarloPage.tsx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~330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Histogram visualization + comprehensive percentile statistics panel</w:t>
            </w:r>
          </w:p>
        </w:tc>
      </w:tr>
    </w:tbl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11.5 Scenario Management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pct" w:w="1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Lines</w:t>
            </w:r>
          </w:p>
        </w:tc>
        <w:tc>
          <w:tcPr>
            <w:tcW w:type="pct" w:w="62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ScenariosPage.tsx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~200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Scenario list with create / duplicate / delete actions</w:t>
            </w:r>
          </w:p>
        </w:tc>
      </w:tr>
      <w:tr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ScenarioSelector.tsx</w:t>
            </w:r>
          </w:p>
        </w:tc>
        <w:tc>
          <w:tcPr>
            <w:tcW w:type="pct" w:w="1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~200</w:t>
            </w:r>
          </w:p>
        </w:tc>
        <w:tc>
          <w:tcPr>
            <w:tcW w:type="pct" w:w="6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Quick scenario switcher component (shown on statement/schedule tabs)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ScenarioComparisonModal.tsx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~420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Full side-by-side scenario comparison modal with all key metrics</w:t>
            </w:r>
          </w:p>
        </w:tc>
      </w:tr>
    </w:tbl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11.6 Settings &amp; Data Entry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pct" w:w="1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Lines</w:t>
            </w:r>
          </w:p>
        </w:tc>
        <w:tc>
          <w:tcPr>
            <w:tcW w:type="pct" w:w="62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CompanySettings.tsx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~115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Company name, ticker, industry, currency, country, fiscal year editor</w:t>
            </w:r>
          </w:p>
        </w:tc>
      </w:tr>
      <w:tr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EgyptianSettings.tsx</w:t>
            </w:r>
          </w:p>
        </w:tc>
        <w:tc>
          <w:tcPr>
            <w:tcW w:type="pct" w:w="1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~310</w:t>
            </w:r>
          </w:p>
        </w:tc>
        <w:tc>
          <w:tcPr>
            <w:tcW w:type="pct" w:w="6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VAT toggle, tax rates, fiscal year preset, asset-class depreciation mix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HistoricalImportPage.tsx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~430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CSV file import with automatic column mapping and preview</w:t>
            </w:r>
          </w:p>
        </w:tc>
      </w:tr>
      <w:tr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HistoricalDataInput.tsx</w:t>
            </w:r>
          </w:p>
        </w:tc>
        <w:tc>
          <w:tcPr>
            <w:tcW w:type="pct" w:w="1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~350</w:t>
            </w:r>
          </w:p>
        </w:tc>
        <w:tc>
          <w:tcPr>
            <w:tcW w:type="pct" w:w="6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Per-year historical data input form with balance validation</w:t>
            </w:r>
          </w:p>
        </w:tc>
      </w:tr>
    </w:tbl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11.7 Charts &amp; System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pct" w:w="1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Lines</w:t>
            </w:r>
          </w:p>
        </w:tc>
        <w:tc>
          <w:tcPr>
            <w:tcW w:type="pct" w:w="62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RevenueChart.tsx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~85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Revenue bar chart built with Recharts, shows historical + projected</w:t>
            </w:r>
          </w:p>
        </w:tc>
      </w:tr>
      <w:tr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MarginChart.tsx</w:t>
            </w:r>
          </w:p>
        </w:tc>
        <w:tc>
          <w:tcPr>
            <w:tcW w:type="pct" w:w="1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~55</w:t>
            </w:r>
          </w:p>
        </w:tc>
        <w:tc>
          <w:tcPr>
            <w:tcW w:type="pct" w:w="6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Gross/Operating/Net margin line chart with period labels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ErrorBanner.tsx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75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Auto-dismissing (10s) error alert banner with Retry button, shown when calculateModel() throws</w:t>
            </w:r>
          </w:p>
        </w:tc>
      </w:tr>
      <w:tr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ConflictModal.tsx</w:t>
            </w:r>
          </w:p>
        </w:tc>
        <w:tc>
          <w:tcPr>
            <w:tcW w:type="pct" w:w="1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76</w:t>
            </w:r>
          </w:p>
        </w:tc>
        <w:tc>
          <w:tcPr>
            <w:tcW w:type="pct" w:w="6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Multi-tab conflict detection modal — Keep Mine / Load Latest / Dismiss options when localStorage is modified by another tab</w:t>
            </w:r>
          </w:p>
        </w:tc>
      </w:tr>
    </w:tbl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12. Navigation &amp; Tab System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The app uses a 19-tab system controlled by the Zustand store's activeTab field: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dashboard → income → balance → cashflow → ratios → model →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working-capital → depreciation → debt-schedule →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dcf → valuation → cbe-metrics →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scenarios → sensitivity → montecarlo →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import → historicaldata → validation → company-settings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Each tab is rendered as a separate component in page.tsx based on the activeTab value. The Sidebar component provides navigation buttons with icons for each section.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Keyboard shortcuts: Ctrl+S → Calculate All Scenarios, Ctrl+Z → Undo, Ctrl+Shift+Z → Redo.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ScenarioSelector dropdown appears on: dashboard, income, balance, cashflow, working-capital, depreciation, debt-schedule tabs.</w:t>
      </w:r>
    </w:p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13. Data Flow Architecture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The system follows a clear input → engine → output pipeline: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Input Layer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Historical Data (2-3 years of actual financial data, entered manually or via CSV import)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Assumptions (60+ configurable parameters for projections)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Scenario Selection (Base / Optimistic / Conservative / Custom)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All state managed centrally in the Zustand store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Engine Layer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integrator.runFullModel() orchestrates the entire calculation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Builds historical IS/BS/CF from raw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For each projection year: runs resolveCircularReferences() (up to 100 iterations per year)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Each iteration: IS → BS (cash=plug) → CF → check interest convergence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Validates integration with 16 cross-statement checks per year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Combines all periods and calculates 23 financial ratios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Output Layer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UI Components — Dashboard, statement views, schedule pages, analysis charts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Excel Export — 9-tab workbook with 100% live formulas (no hard-coded values)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PDF Export — Multi-page professional report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CSV/JSON Export — Raw data for external tools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Analysis &amp; Valuation Layer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Sensitivity Analysis — One-way and two-way parameter sweeps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Monte Carlo Simulation — 10,000 iterations with configurable distributions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Scenario Comparison — Side-by-side metric comparison across all scenarios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DCF Valuation — WACC (CAPM) → discounted FCFs → terminal value → implied share price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Trading Multiples — P/E, EV/EBITDA, P/B, FCF Yield, Dividend Yield vs EGX 30 benchmarks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CBE Regulatory Metrics — Debt/EBITDA, Interest Coverage, DSCR, Current Ratio, Net Debt/Equity</w:t>
      </w:r>
    </w:p>
    <w:p>
      <w:r>
        <w:br w:type="page"/>
      </w:r>
    </w:p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14. Key Design Decisions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1. Cash as Plug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Cash is the balancing item on the balance sheet: Cash = Total L+E − all other assets. This guarantees A = L+E always holds, which is critical for the iterative solver to work correctly.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2. Iterative Circular Resolution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The fundamental circular dependency (Interest → Net Income → Cash → CF → Interest) is resolved via iteration. The solver runs up to 100 rounds with a tolerance of 0.01 for interest values. This approach is simpler and more robust than algebraic solutions.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3. Revenue Chain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Revenue ALWAYS chains from previousRevenue × (1 + growthRate). There is no separate base for projections — the first projected year grows from the last historical revenue. This ensures consistency across the IS.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4. Average Balances for Interest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Interest expense = average(beginning, ending) total debt × interest rate. Interest income = average(beginning, ending) cash × interest income rate. This is standard financial modeling practice.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5. Back-Computed Historical Assumptions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For the Excel export, historical-period DSO, DIO, DPO, and other metrics are reverse-calculated from actual data. This allows every cell in the Excel to have a formula, even for historical periods.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6. Egyptian Localization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Full support for the Egyptian market: 22.5% corporate tax rate, 14% VAT, 5 asset-class depreciation with legal rate ranges, bilingual English/Arabic labels, and Egyptian government fiscal year (July-June) support.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7. Zustand + localStorage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State persists across browser refreshes via the zustand/middleware/persist module. Only essential fields are persisted (via partialize), while computed results and UI state are excluded.</w:t>
      </w:r>
    </w:p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15. Known Limitations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type="pct" w:w="53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Limitation</w:t>
            </w:r>
          </w:p>
        </w:tc>
        <w:tc>
          <w:tcPr>
            <w:tcW w:type="pct" w:w="2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Workaround</w:t>
            </w:r>
          </w:p>
        </w:tc>
      </w:tr>
      <w:tr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Circular References</w:t>
            </w:r>
          </w:p>
        </w:tc>
        <w:tc>
          <w:tcPr>
            <w:tcW w:type="pct" w:w="53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Iterative solver may not converge with extreme assumptions (200%+ debt ratios)</w:t>
            </w:r>
          </w:p>
        </w:tc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Use realistic assumption ranges</w:t>
            </w:r>
          </w:p>
        </w:tc>
      </w:tr>
      <w:tr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Interest Calculation</w:t>
            </w:r>
          </w:p>
        </w:tc>
        <w:tc>
          <w:tcPr>
            <w:tcW w:type="pct" w:w="53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Uses beginning-of-period debt (flat rate × beginning balance) — no mid-period debt changes</w:t>
            </w:r>
          </w:p>
        </w:tc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Acceptable for most modeling</w:t>
            </w:r>
          </w:p>
        </w:tc>
      </w:tr>
      <w:tr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Balancing Plug</w:t>
            </w:r>
          </w:p>
        </w:tc>
        <w:tc>
          <w:tcPr>
            <w:tcW w:type="pct" w:w="53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Cash is used as the plug when BS doesn't balance exactly</w:t>
            </w:r>
          </w:p>
        </w:tc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Check balanceDifference field</w:t>
            </w:r>
          </w:p>
        </w:tc>
      </w:tr>
      <w:tr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Tax Loss Carryforward</w:t>
            </w:r>
          </w:p>
        </w:tc>
        <w:tc>
          <w:tcPr>
            <w:tcW w:type="pct" w:w="53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Not implemented — negative EBT still applies tax rate</w:t>
            </w:r>
          </w:p>
        </w:tc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Set tax rate to 0% for loss scenarios</w:t>
            </w:r>
          </w:p>
        </w:tc>
      </w:tr>
      <w:tr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Goodwill &amp; Intangibles</w:t>
            </w:r>
          </w:p>
        </w:tc>
        <w:tc>
          <w:tcPr>
            <w:tcW w:type="pct" w:w="53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Static from assumptions — no impairment testing</w:t>
            </w:r>
          </w:p>
        </w:tc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Manually update assumptions</w:t>
            </w:r>
          </w:p>
        </w:tc>
      </w:tr>
      <w:tr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Working Capital</w:t>
            </w:r>
          </w:p>
        </w:tc>
        <w:tc>
          <w:tcPr>
            <w:tcW w:type="pct" w:w="53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DSO/DIO/DPO-driven — no seasonal or cyclical variation</w:t>
            </w:r>
          </w:p>
        </w:tc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N/A for annual models</w:t>
            </w:r>
          </w:p>
        </w:tc>
      </w:tr>
      <w:tr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Debt Structure</w:t>
            </w:r>
          </w:p>
        </w:tc>
        <w:tc>
          <w:tcPr>
            <w:tcW w:type="pct" w:w="53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Constant debt levels unless assumption overrides used</w:t>
            </w:r>
          </w:p>
        </w:tc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Use scenario manager</w:t>
            </w:r>
          </w:p>
        </w:tc>
      </w:tr>
      <w:tr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Performance</w:t>
            </w:r>
          </w:p>
        </w:tc>
        <w:tc>
          <w:tcPr>
            <w:tcW w:type="pct" w:w="53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Monte Carlo with 10,000+ iterations can freeze UI for 5-15s</w:t>
            </w:r>
          </w:p>
        </w:tc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Reduce iteration count</w:t>
            </w:r>
          </w:p>
        </w:tc>
      </w:tr>
      <w:tr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PDF Export</w:t>
            </w:r>
          </w:p>
        </w:tc>
        <w:tc>
          <w:tcPr>
            <w:tcW w:type="pct" w:w="53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Landscape A4 — may truncate columns with 8+ projected years</w:t>
            </w:r>
          </w:p>
        </w:tc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Use Excel export</w:t>
            </w:r>
          </w:p>
        </w:tc>
      </w:tr>
      <w:tr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Browser Storage</w:t>
            </w:r>
          </w:p>
        </w:tc>
        <w:tc>
          <w:tcPr>
            <w:tcW w:type="pct" w:w="53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Model state persisted in localStorage — limited to ~5MB</w:t>
            </w:r>
          </w:p>
        </w:tc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Export to JSON regularly</w:t>
            </w:r>
          </w:p>
        </w:tc>
      </w:tr>
      <w:tr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Single Currency</w:t>
            </w:r>
          </w:p>
        </w:tc>
        <w:tc>
          <w:tcPr>
            <w:tcW w:type="pct" w:w="53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No foreign exchange conversion or multi-currency balance sheets</w:t>
            </w:r>
          </w:p>
        </w:tc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Future enhancement planned</w:t>
            </w:r>
          </w:p>
        </w:tc>
      </w:tr>
      <w:tr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Undo/Redo</w:t>
            </w:r>
          </w:p>
        </w:tc>
        <w:tc>
          <w:tcPr>
            <w:tcW w:type="pct" w:w="53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Only tracks assumption changes, not scenario additions/deletions</w:t>
            </w:r>
          </w:p>
        </w:tc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N/A</w:t>
            </w:r>
          </w:p>
        </w:tc>
      </w:tr>
    </w:tbl>
    <w:p>
      <w:pPr>
        <w:spacing w:after="40"/>
      </w:pP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Planned Improvements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Web Worker for Monte Carlo (non-blocking UI)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Tax loss carryforward logic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Debt covenants and revolving credit facility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Real-time API integration (Yahoo Finance, FMP)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Multi-currency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Industry-specific templates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Page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of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3-Statement Financial Model Engine — Technical Overview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360" w:after="120"/>
    </w:pPr>
    <w:rPr>
      <w:rFonts w:ascii="Calibri" w:cs="Calibri" w:eastAsia="Calibri" w:hAnsi="Calibri"/>
      <w:b/>
      <w:bCs/>
      <w:color w:val="1E3A8A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80" w:after="80"/>
    </w:pPr>
    <w:rPr>
      <w:rFonts w:ascii="Calibri" w:cs="Calibri" w:eastAsia="Calibri" w:hAnsi="Calibri"/>
      <w:b/>
      <w:bCs/>
      <w:color w:val="1E3A8A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60"/>
    </w:pPr>
    <w:rPr>
      <w:rFonts w:ascii="Calibri" w:cs="Calibri" w:eastAsia="Calibri" w:hAnsi="Calibri"/>
      <w:b/>
      <w:bCs/>
      <w:color w:val="3B82F6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3-Statement Financial Model Engine — Complete Technical Overview</dc:title>
  <dc:creator>Financial Model Engine</dc:creator>
  <dc:description>Complete technical overview of the 3-Statement Financial Model Engine</dc:description>
  <cp:lastModifiedBy>Un-named</cp:lastModifiedBy>
  <cp:revision>1</cp:revision>
  <dcterms:created xsi:type="dcterms:W3CDTF">2026-03-07T19:04:21.543Z</dcterms:created>
  <dcterms:modified xsi:type="dcterms:W3CDTF">2026-03-07T19:04:21.545Z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