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3-Statement Financial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3A8A"/>
          <w:sz w:val="52"/>
          <w:szCs w:val="52"/>
        </w:rPr>
        <w:t xml:space="preserve">Model Engine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3B82F6"/>
          <w:sz w:val="16"/>
          <w:szCs w:val="16"/>
        </w:rPr>
        <w:t xml:space="preserve">━━━━━━━━━━━━━━━━━━━━━━━━━━━━━━━━━━━━━━━━━━━━━━━━━━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8"/>
          <w:szCs w:val="28"/>
        </w:rPr>
        <w:t xml:space="preserve">Complete Technical Overview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Framework: Next.js 16 + React 19 + TypeScript 5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Engine: 7 calculation modules incl. DCF, Valuation, Circular Resolver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Export: Excel (9 tabs, live formulas) · PDF · CSV · JSON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Analysis: Monte Carlo · Sensitivity · Scenario Comparison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Valuation: DCF (WACC/CAPM) · Trading Multiples · EGX 30 Benchmarks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Localization: English / Arabic · Egyptian Market · CBE Metrics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› 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27 UI Components · 19 Navigation Tabs · Zustand State Management</w:t>
      </w: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spacing w:after="4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Generated: March 9,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Table of Contents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Technology Stack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Project Structure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Type System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Engine Layer (7 modules)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Financial Ratios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Analysis Tools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State Management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Export Layer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Internationalization &amp; Egyptian Localization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10.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Utility Functions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11.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UI Components (27 total)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12.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Navigation &amp; Tab System (19 tabs)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13.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Data Flow Architecture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14.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Key Design Decisions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............................................................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3A8A"/>
          <w:sz w:val="22"/>
          <w:szCs w:val="22"/>
        </w:rPr>
        <w:t xml:space="preserve">15.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Known Limitations &amp; Planned Improvements</w:t>
      </w:r>
      <w:r>
        <w:rPr>
          <w:rFonts w:ascii="Calibri" w:cs="Calibri" w:eastAsia="Calibri" w:hAnsi="Calibri"/>
          <w:color w:val="D1D5DB"/>
          <w:sz w:val="18"/>
          <w:szCs w:val="18"/>
        </w:rPr>
        <w:t xml:space="preserve">  ........................................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Next.js (Turbopack)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16.1.6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Language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TypeScript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React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19.2.3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State Management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Zustand (persist middleware)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5.0.11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Charts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Recharts + D3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3.7 / 7.9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 Export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jsPDF + AutoTable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4.1 / 5.0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Zod + TypeBox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4.3 / 0.34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Framework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Tailwind CSS</w:t>
            </w:r>
          </w:p>
        </w:tc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4.x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 Library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mathjs</w:t>
            </w:r>
          </w:p>
        </w:tc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15.1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2. Project Structure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3_Statement_Model_Engine/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app/                        # Next.js app router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page.tsx                # Main page (tab router)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layout.tsx              # Root layout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globals.css             # Design system (8.9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types/                      # TypeScript interfaces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assumptions.ts          # AssumptionSet (60+ fields), HistoricalInputs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financial.ts            # IS, BS, CF, Ratios, IntegrationChecks, ModelResults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historical.ts           # HistoricalDataInput, converters, validators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scenario.ts             # Scenario, ModelState, Monte Carlo types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├── lib/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engines/                # Core calculation engine (7 modules)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income-statement.ts # Revenue → Net Income waterfall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balance-sheet.ts    # All asset/liability/equity calculations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cash-flow.ts        # Indirect method CF generation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circular-resolver.ts# Iterative solver + 16 integration checks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integrator.ts       # Master orchestrator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dcf.ts              # DCF valuation (WACC/CAPM/Gordon Growth)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valuation.ts        # Trading multiples + EGX 30 benchmarks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export/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excel.ts            # 9-tab Excel workbook (103 KB of formulas)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├── pdf.ts              # Multi-page PDF report (49 KB)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│   └── csv-json.ts         # CSV + JSON data export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store.ts                # Zustand store (16 KB, 15+ actions)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ratios.ts               # 23 financial ratios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monte-carlo.ts          # Monte Carlo simulation (4 distributions)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sensitivity.ts          # 1-way and 2-way sensitivity analysis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scenario-manager.ts     # Scenario CRUD + comparison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scenarios.ts            # Pre-defined scenario definitions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i18n/labels.ts          # Bilingual labels (English / Arabic)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templates/egyptian-industries.ts  # 5 sector-specific assumption templates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├── schedules/egyptian-depreciation.ts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│   └── utils.ts                # Multi-currency formatting utilities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└── components/                 # 27 React UI components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Dashboard, Sidebar, ModelPage, ValidationPage, ...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DCFPage, ValuationPage, CBEMetricsPage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ErrorBanner, ConflictModal                (NEW)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charts/ (RevenueChart, MarginChart)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├── statements/ (IS, BS, CF pages)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└── schedules/ (WorkingCapital, Depreciation, Debt)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3. Type System (types/)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3.1 AssumptionSet (assumptions.ts) — 90+ fields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main projection configuration organized by category. Fields marked with [] are per-projection-year arrays: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1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79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Fields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revenueBase, revenueGrowthRate[]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cogsPercent[], sgaPercent[], rdPercent[], otherOpexPercent[]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dso[], dio[], dpo[], prepaidPercent[], accruedExpPercent[], deferredRevPercent[]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 &amp; Depr.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capexPercent[], depreciationRate[], amortizationAmount[], depreciationMethod (straight-line|declining-balance|egyptian-tax)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&amp; Financing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cbeRate (27.25%), interestRateOnDebt[] ([22%,22%,20%,18%,18%]), interestRateOnCash[], legacyDebtRate (4.5%), shortTermDebtAmount[], longTermDebtIssuance[], longTermDebtRepayment[], currentPortionLTD[]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Equity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sharesOutstanding[], dividendPayoutRatio[], shareRepurchaseAmount[], stockBasedCompAmount[], commonStock[], apic[], oci[], equityIssuance[]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&amp; Regime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taxRate[] (default 22.5%), taxRegime (standard|oil|strategic|sme), enableVAT, vatRate (14%)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 Profit Sharing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employeeProfitSharingRate (10%), enableEmployeeProfitShare, totalAnnualPayroll (EPD cap)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enableTaxLossCarryforward, taxLossCarryforwardYears (5) — Tax Law Art. 29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Legal Reserve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enableLegalReserve, legalReservePercent (5%), paidUpCapital, legalReserveCap (50%), initialLegalReserve — Companies Law Art. 40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WHT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dividendWithholdingTaxRate (10% unlisted / 5% EGX-listed), isEGXListed — Law 30/2023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 of Service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enableEndOfServiceBenefit, averageMonthlyBasicSalary, numberOfEmployees[] — Labor Law + EAS 38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/ Valuation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riskFreeRate (20%), beta (1.0), equityRiskPremium (10.5%), terminalGrowthRate (7%), sharePrice (optional)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inflationRate[] ([25%,18%,14%,10%,8%]), linkRevenueToInflation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sectorPreset (technology|manufacturing|retail|government-contractor|export-oriented|real-estate|custom)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Mix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assetMix.buildings (30%), .machinery (35%), .vehicles (15%), .computers (10%), .furniture (10%)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 Preset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countryPreset, useEgyptianRates, dividendWithholdingRate, fiscalYearEnd, fiscalYearPreset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BS Items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goodwill[], otherLongTermAssets[], otherCurrentAssets[], otherCurrentLiabilities[], deferredTaxLiabilities[], otherLongTermLiabilities[]</w:t>
            </w:r>
          </w:p>
        </w:tc>
      </w:tr>
      <w:tr>
        <w:tc>
          <w:tcPr>
            <w:tcW w:type="pct" w:w="21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Investing</w:t>
            </w:r>
          </w:p>
        </w:tc>
        <w:tc>
          <w:tcPr>
            <w:tcW w:type="pct" w:w="79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acquisitions[], assetSales[], investmentPurchases[], investmentSales[]</w:t>
            </w:r>
          </w:p>
        </w:tc>
      </w:tr>
      <w:tr>
        <w:tc>
          <w:tcPr>
            <w:tcW w:type="pct" w:w="21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Config</w:t>
            </w:r>
          </w:p>
        </w:tc>
        <w:tc>
          <w:tcPr>
            <w:tcW w:type="pct" w:w="79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projectionYears (5), historicalYears (2), startYear (2026), fiscalYearEnd (6=June)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getDefaultAssumptions() → Egyptian-market defaults with CBE-linked rates. getDefaultHistoricalInputs() → 2-period (2024/2025) balanced demo data with RE calculated as plug.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3.2 Financial Statement Interfaces (financial.ts)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Fields</w:t>
            </w:r>
          </w:p>
        </w:tc>
        <w:tc>
          <w:tcPr>
            <w:tcW w:type="pct" w:w="5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26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EPS waterfall, includes VAT memo fields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isBalanced check flag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CashFlowStatement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 fields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+ FCF + reconciliation flag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FinancialRatios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ratios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IntegrationChecks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 booleans + details[]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Cross-statement validation results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DCFValuation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 fields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fcfProjections[], discountedFCFs[], terminalValue, pvTerminalValue, EV, netDebt, equityValue, impliedSharePrice, wacc, costOfEquity, costOfDebt, debtWeight, equityWeight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ValuationMultiples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 fields (nullable)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pe, evEbitda, priceBook, fcfYield, dividendYield, marketCap, enterpriseValueMarket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EGXBenchmarks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range objects</w:t>
            </w:r>
          </w:p>
        </w:tc>
        <w:tc>
          <w:tcPr>
            <w:tcW w:type="pct" w:w="5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pe/evEbitda/priceBook each with {low, high, avg} for EGX 30 benchmarks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ModelResults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Combined arrays</w:t>
            </w:r>
          </w:p>
        </w:tc>
        <w:tc>
          <w:tcPr>
            <w:tcW w:type="pct" w:w="5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IS[] + BS[] + CF[] + Ratios[] + IntegrationChecks[] + ConvergenceInfo + DCFValuation? + ValuationMultiples?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3.3 Historical Data (historical.ts)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HistoricalDataInput — Per-year input object with 55+ fields, user-editable through the UI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convertToHistoricalInputs() — Bridges per-year object format → parallel array format for the engine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buildHistoricalYear() — Auto-computes derived totals (totalCurrentAssets, totalAssets, etc.) and uses retained earnings as plug so balance sheet always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validateHistoricalBalance() — Returns error string if Assets ≠ Liabilities + Equity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3.4 Scenario &amp; Analysis Types (scenario.ts)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ModelState — Global application state interface: company info, 15 navigation tabs, undo/redo stacks, errors/warnings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— { id, name, type, assumptions, results, createdAt, updatedAt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ScenarioType — 'base' | 'optimistic' | 'conservative' | 'custom'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Distribution — { type: normal|uniform|triangular|lognormal, params: {mean, stdDev, min, max, mode}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MonteCarloConfig — iterations count, variable-to-distribution map, output metrics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MonteCarloResult — values array + statistics (mean, median, stdDev, p10/p25/p50/p75/p90, min, max)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4. Engine Layer (lib/engines/)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4.1 Income Statement Engine (income-statement.ts)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calculateIncomeStatement(inputs) builds a single projected IS using the waterfall: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 = previousRevenue × (1 + growthRate)     ← ALWAYS chains from prior period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COGS = Revenue × cogsPercent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Gross Profit = Revenue − COGS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SG&amp;A = Revenue × sgaPercent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R&amp;D = Revenue × rdPercent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 = from PP&amp;E schedule (passed in from circular resolver)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Amortization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OpEx = Revenue × otherOpexPercent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SBC = fixed amount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Total OpEx = SG&amp;A + R&amp;D + D&amp;A + Other + SBC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 = Gross Profit − Total OpEx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EBITDA = EBIT + Depreciation +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Income = from average cash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 Expense = from average debt balance (passed in)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Other Income/Expense = from assumptions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EBT = EBIT + Interest Income − Interest Expense + Other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 = max(0, EBT ×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Income = EBT − Tax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EPS = Net Income / Shares Outstanding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Also supports VAT memo fields for Egyptian market: revenueInclVAT, revenueExclVAT, vatCollected (only when enableVAT is true).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buildHistoricalIncomeStatements() constructs IS array from raw historical data arrays, computing growth rates from period-over-period changes.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4.2 Balance Sheet Engine (balance-sheet.ts)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calculateBalanceSheet(inputs) builds a single projected BS. Every item is derived from assumptions or the income statement: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Balance Sheet Item</w:t>
            </w:r>
          </w:p>
        </w:tc>
        <w:tc>
          <w:tcPr>
            <w:tcW w:type="pct" w:w="7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Calculation Formula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Receivable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DSO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Inventory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DIO / 365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Prepaid Expenses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prepaidPercent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Current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otherCAPercent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Cash + AR + Inventory + Prepaid + OCA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Gross PP&amp;E + CapEx (Revenue × capexPercent)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Accumulated Depreciation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Accum Dep + Current Depreciation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− Accumulated Depreciation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Intangibles / Goodwill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 (fixed amounts)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Other Long-Term Assets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× otherLTAPercent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Accounts Payable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COGS × DPO / 365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Accrued Expenses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accruedExpPercent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Revenue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× deferredRevPercent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Short-Term Debt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From assumptions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Long-Term Debt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LTD + Issuance − Repayment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Deferred Tax Liabilities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Liabilities × deferredTaxLiabilityPercent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RE + Net Income − Dividends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APIC + SBC + Equity Issuance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Treasury Stock</w:t>
            </w:r>
          </w:p>
        </w:tc>
        <w:tc>
          <w:tcPr>
            <w:tcW w:type="pct" w:w="7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Prior Treasury − Share Repurchases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&amp; Equivalents</w:t>
            </w:r>
          </w:p>
        </w:tc>
        <w:tc>
          <w:tcPr>
            <w:tcW w:type="pct" w:w="7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PLUG → Total L+E − all other assets (ensures A = L+E)</w:t>
            </w:r>
          </w:p>
        </w:tc>
      </w:tr>
    </w:tbl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Cash is the balancing "plug" item: Cash = Total Liabilities + Equity − all other asset items. This guarantees the balance sheet always balances.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Helper functions provided: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calculateDepreciation(previousGrossPPE, capex, depreciationRate) — straight-line on gross PP&amp;E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calculateInterestExpense(beginDebt, endDebt, interestRate) — based on average debt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calculateInterestIncome(beginCash, endCash, interestIncomeRate) — based on average cash balance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4.3 Cash Flow Statement Engine (cash-flow.ts) — Indirect Method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calculateCashFlow(inputs) derives the cash flow from the income statement and balance sheet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OPERATING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Net Income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Depreciation &amp; Amortization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Stock-Based Compensation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Deferred Tax Changes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Working Capital Changes: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Accounts Receivable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Inventory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− Change in Prepaid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Accounts Payable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Accrued Expenses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 + Change in Deferred Revenue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Operations (CFO)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INVESTING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Capital Expenditures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Acquisitions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Asset Sales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Investing (CFI)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FINANCING ACTIVITIES: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Debt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Debt Repayment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Dividends Paid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+ Equity Issuance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− Share Repurchases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= Cash from Financing (CFF)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/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 Change in Cash = CFO + CFI + CFF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Free Cash Flow = CFO − CapEx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Ending Cash = Beginning Cash + Net Change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Reconciles? = |Ending Cash − BS Cash| &lt; 0.01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Reconciliation utility (cash-flow-indirect.ts): Provides validateAllReconciliations() which checks that CF ending cash matches BS cash within $0.01 for every period. Re-exports the core CF engine functions.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4.4 Circular Resolver (circular-resolver.ts) — THE HEART OF THE ENGINE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This module resolves the fundamental circular dependency in a 3-statement model: Interest ↔ Cash ↔ Cash Flow ↔ Net Income ↔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resolveCircularReferences(assumptions, yearIndex, prevIS, prevBS) operates as follows: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Starts with initial estimates: interestIncome = 0, interestExpense =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Iterates up to 100 times (configurable, tolerance = 0.01):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Depreciation from PP&amp;E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Expense from average total debt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Calculate Interest Income from average cash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Income Statement with these inputs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Balance Sheet (cash = plug)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 complete Cash Flow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convergence: delta = |new interest values − old interest values|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delta &lt; tolerance → converged ✓, exit loop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Returns { incomeStatement, balanceSheet, cashFlow, converged, iterations, finalDelta }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16 Integration Checks (validateIntegration)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After convergence, the engine validates cross-statement consistency with 16 checks: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 Name</w:t>
            </w:r>
          </w:p>
        </w:tc>
        <w:tc>
          <w:tcPr>
            <w:tcW w:type="pct" w:w="6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Validation Formula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 Balance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Assets = Total Liabilities +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Ties to CF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Ending Cash ≈ BS Cash (within 0.01)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Income Flows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Net Income = CF Net Income (starting point)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PP&amp;E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PP&amp;E = Gross PP&amp;E − Accumulated Depreciation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Retained Earnings Flow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 = Prior RE + Net Income − Dividends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LTD = Prior LTD + Issuance − Repayment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 Reconciliation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Ending Cash = Beginning Cash + Net Change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 changes consistent with BS deltas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Assets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CA items = TCA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Assets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NCA items = TNCA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11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Current Liabilities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CL items = TCL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Non-Current Liabilities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individual NCL items = TNCL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13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Equity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 of equity components = Total Equity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14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 Waterfall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→ COGS → Gross Profit → OpEx → EBIT → Tax → NI</w:t>
            </w:r>
          </w:p>
        </w:tc>
      </w:tr>
      <w:tr>
        <w:tc>
          <w:tcPr>
            <w:tcW w:type="pct" w:w="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Identity</w:t>
            </w:r>
          </w:p>
        </w:tc>
        <w:tc>
          <w:tcPr>
            <w:tcW w:type="pct" w:w="6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EBITDA = EBIT + Depreciation + Amortization</w:t>
            </w:r>
          </w:p>
        </w:tc>
      </w:tr>
      <w:tr>
        <w:tc>
          <w:tcPr>
            <w:tcW w:type="pct" w:w="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16</w:t>
            </w:r>
          </w:p>
        </w:tc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Consistency</w:t>
            </w:r>
          </w:p>
        </w:tc>
        <w:tc>
          <w:tcPr>
            <w:tcW w:type="pct" w:w="6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APIC = Prior APIC + SBC + Equity Issuance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4.5 Integrator (integrator.ts) — Master Orchestrator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runFullModel(assumptions, historicalInputs) is the top-level function that runs the entire model: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1: Build historical Income Statements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2: Build historical Balance Sheets from raw data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3: Build historical Cash Flows from IS/BS period-over-period changes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4: For each projection year (0 to projectionYears-1):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Get previous period IS and BS (historical for yr=0, prior projected otherwise)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resolveCircularReferences() for this year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Call validateIntegration() and store results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Track convergence statistics (total iterations, max delta)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5: Combine historical + projected arrays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6: Calculate financial ratios for all periods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Step 7: Return ModelResults { IS[], BS[], CF[], Ratios[], IntegrationChecks[], ConvergenceInfo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getModelSummary(results) extracts key metrics: revenue, EBITDA, NI, EPS, FCF, total debt, cash, average growth, average margin, and convergence status.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4.6 DCF Valuation Engine (dcf.ts)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intrinsic value using Discounted Cash Flow with WACC derived from CAPM and Egyptian market inputs.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calculateWACC(assumptions,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Equity (CAPM): ke = CBE_Rate + β × Equity_Risk_Premium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Default: 0.2725 + 1.0 × 0.07 = 34.25%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Cost of Debt (after-tax): kd = interestRate × (1 − taxRate)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Capital Structure: D/(D+E) and E/(D+E) from last projected BS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WACC = E/(D+E) × ke + D/(D+E) × kd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calculateDCF(assumptions, results)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1. Extract projected FCFF from Income Statement memo field (is.fcff)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2. Discount each FCF: PV(FCF_i) = FCF_i / (1 + WACC)^i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3. Terminal Value (Gordon Growth): TV = FCF_n × (1+g) / (WACC − g)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where g = terminalGrowthRate (default 5%)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4. PV(TV) = TV / (1 + WACC)^n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5. Enterprise Value = Sum(PV of FCFs) + PV(TV)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6. Equity Bridge: Equity Value = EV − Net Debt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   Net Debt = (ST Debt + LT Debt + Current LTD) − Cash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7. Implied Share Price = Equity Value / Shares Outstanding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Returns DCFValuation with 13 fields: fcfProjections, discountedFCFs, terminalValue, pvTerminalValue, enterpriseValue, netDebt, equityValue, impliedSharePrice, wacc, costOfEquity, costOfDebt, debtWeight, equityWeight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4.7 Valuation Multiples Engine (valuation.ts)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calculateMultiples(results, assumptions)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trading multiples from engine results + optional share price. Returns null values if sharePrice is not provided.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7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Formula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EPS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(Market Cap + Net Debt) / EBITDA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Share Price / (Total Equity / Shares)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Yield</w:t>
            </w:r>
          </w:p>
        </w:tc>
        <w:tc>
          <w:tcPr>
            <w:tcW w:type="pct" w:w="7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FCF / Market Cap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Dividend Yield</w:t>
            </w:r>
          </w:p>
        </w:tc>
        <w:tc>
          <w:tcPr>
            <w:tcW w:type="pct" w:w="7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DPS / Share Price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calculateImpliedPrices(results, benchmarks)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Calculates implied share prices from EGX 30 benchmarks: fromPE (avg P/E × EPS), fromEVEBITDA (avg EV/EBITDA × EBITDA → equity → per share), fromPB (avg P/B × BVPS).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EGX 30 Benchmarks (Q1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Multiple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Low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High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Average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P/E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10x</w:t>
            </w:r>
          </w:p>
        </w:tc>
      </w:tr>
      <w:tr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EV/EBITDA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9x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7.5x</w:t>
            </w:r>
          </w:p>
        </w:tc>
      </w:tr>
      <w:tr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Price/Book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1.0x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2.5x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1.6x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Sector Working Capital Presets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Technology / Software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Manufacturing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Retail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Government Contractor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</w:tr>
      <w:tr>
        <w:tc>
          <w:tcPr>
            <w:tcW w:type="pct" w:w="3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Export-Oriented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3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0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5. Financial Ratios (ratios.ts)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calculateFinancialRatios(is, bs, prevBS) and enrichRatios() compute 35+ ratios: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pct" w:w="4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Ratios</w:t>
            </w:r>
          </w:p>
        </w:tc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Margin, Operating Margin, Net Margin, ROE, ROA, ROIC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ROE/ROA use average balances; ROIC = NOPAT / avg invested capital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Liquidity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Ratio, Quick Ratio, Cash Ratio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Standard formulas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Leverage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Debt-to-Equity, Debt-to-Assets, Interest Coverage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Total Debt = ST + LT + Current LTD; Coverage = EBIT/IntExp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Efficiency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 Turnover, Inventory Turnover, Receivables Turnover, DSO, DIO, DPO, CCC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CCC = DSO + DIO − DPO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DuPont (3-Factor)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Net Margin × Asset Turnover × Equity Multiplier = ROE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Classic DuPont decomposition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DuPont (5-Factor)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Burden × Interest Burden × Operating Margin × Asset Turnover × Equity Multiplier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Extended DuPont with tax/interest isolation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Altman Z-Score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Z-prime model (private companies)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safe &gt; 2.9, grey 1.23–2.9, distress &lt; 1.23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Altman Z-Score EM</w:t>
            </w:r>
          </w:p>
        </w:tc>
        <w:tc>
          <w:tcPr>
            <w:tcW w:type="pct" w:w="4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6.56×X1 + 3.26×X2 + 6.72×X3 + 1.05×X4</w:t>
            </w:r>
          </w:p>
        </w:tc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Emerging Markets model (Altman 2005): safe &gt; 2.60, grey 1.10–2.60, distress &lt; 1.10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Break-Even</w:t>
            </w:r>
          </w:p>
        </w:tc>
        <w:tc>
          <w:tcPr>
            <w:tcW w:type="pct" w:w="4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Break-Even Revenue = Fixed Costs / Contribution Margin Ratio</w:t>
            </w:r>
          </w:p>
        </w:tc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 of Safety = (Revenue − BER) / Revenue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6. Analysis Tools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6.1 Sensitivity Analysis (sensitivity.ts)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oneWaySensitivity(baseAssumptions, historicalInputs, variable, range, outputMetric) — Varies one assumption across a range of values, runs the full model for each, and returns the output metric values. Supports array assumptions (applies sampled value uniformly).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twoWaySensitivity(..., variable1, range1, variable2, range2, outputMetric) — Varies two assumptions simultaneously, produces an NxN matrix of output values.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generateRange(baseValue, steps, stepSize) — Generates a centered range: base ± steps × stepSize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Output metrics supported: revenue, ebitda, netIncome, eps, fcf, roe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6.2 Monte Carlo Simulation (monte-carlo.ts)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4 distribution types: Normal (Box-Muller transform), Uniform, Triangular, Lognormal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runMonteCarloSimulation() — Runs N iterations (default 10,000), sampling from configured distributions, perturbing assumptions, and capturing all output metrics. Failed iterations (convergence failures) are silently skipped.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Statistics computed: mean, median, standard deviation, p10, p25, p50, p75, p90, min, max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Default config: revenue growth rate (normal μ=7%, σ=3%), COGS% (normal μ=60%, σ=3%), interest rate (uniform 3%-8%). Output metrics: netIncome, fcf, eps.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6.3 Scenario Manager (scenario-manager.ts)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3 pre-defined scenarios: Base Case (moderate growth, stable margins), Optimistic (high growth, margin expansion), Conservative (slow growth, margin pressure)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CRUD operations: createScenario(), duplicateScenario(), updateScenarioAssumption() (supports nested paths like revenueGrowthRate[0]), deleteScenario()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compareScenarios() — Returns side-by-side comparison for all calculated scenarios: revenue, EBITDA, NI, EPS, FCF, total debt, cash, ROE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7. State Management (store.ts) — 548 lines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Zustand store (v4) with localStorage persistence via zustand/middleware/persist. 20+ actions with GLOBAL_KEYS sync: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Field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companyName, ticker, industry, currency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metadata fields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country, fiscalYearEnd, valuationDate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Localization and dating fields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historicalInputs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Array-format historical data (engine format)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objects (UI format)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All scenarios with their assumption sets and results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activeScenarioId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Currently selected scenario UUID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activeTab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navigation tab (19 possible values)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isDarkMode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Dark mode toggle state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undoStack[] / redoStack[]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 change history for undo/redo (50-entry cap)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errors[] / warnings[]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Current validation messages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calculationError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 message from last failed calculation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cellOverrides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overrides keyed by scenarioId_rowKey_period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dataVersion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Incremented on each recalculation for change detection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conflictDetected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localStorage conflict flag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sidebarOpen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 collapsed/expanded state</w:t>
            </w:r>
          </w:p>
        </w:tc>
      </w:tr>
    </w:tbl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setCompanyInfo()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company metadata (name, ticker, currency, country, fiscal year, valuation date)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setHistoricalData(data)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per-year data → auto-convert to engine format → recalculate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updateAssumption(path, 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Update any assumption; handles array indexing like revenueGrowthRate[0]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addScenario() / deleteScenario()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Create or remove scenarios (min 1 scenario enforced)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duplicateScenario(id, name)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Clone an existing scenario with a new name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calculateModel()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Runs runFullModel() for active scenario; captures warnings (&gt;95% margin, &lt;-50% NI)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calculateAllScenarios()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Syncs GLOBAL_KEYS from Base Case → all scenarios, then runs model for each independently (failures don't block others)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undo() / redo()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Assumption-level undo/redo → auto-recalculates after restore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resetToDefaults()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state reset to demo company data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setCountryPreset(preset)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Applies US / Egyptian / Custom tax, VAT, CBE rates, depreciation, fiscal year to ALL scenarios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setCellOverride()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 cell value override for specific scenario/row/period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dismissConflict()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Dismiss multi-tab conflict notification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toggleDarkMode() / setSidebarOpen()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UI toggle actions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7.1 GLOBAL_KEYS Sync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calculateAllScenarios() syncs these keys from Base Case to all other scenarios before computing: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taxRate, taxRegime, vatRate, enableVAT, dividendWithholdingRate,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dividendWithholdingTaxRate, isEGXListed, useEgyptianRates, countryPreset,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fiscalYearPreset, fiscalYearEnd, projectionYears, historicalYears,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cbeRate, riskFreeRate, legacyDebtRate, employeeProfitSharingRate,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enableEmployeeProfitShare, enableTaxLossCarryforward, taxLossCarryforwardYears,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enableLegalReserve, legalReservePercent, paidUpCapital, legalReserveCap,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depreciationMethod, enableEndOfServiceBenefit,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interestRateOnDebt, interestRateOnCash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7.2 Persistence &amp; Migration (v4)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Persisted fields (via partialize): companyName, ticker, industry, currency, country, fiscalYearEnd, valuationDate, historicalData, historicalInputs, scenarios, activeScenarioId, isDarkMode.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v4 migration handles: scalar→array interest rate conversion, CBE rate defaults, tax regime sync (forces correct rate per regime), interest rate floor resets (US→Egypt), startYear 2025→2026, historical years 2023/2024→2024/2025.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8. Export Layer (lib/export/)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8.1 Excel Export (excel.ts + 4 sub-modules) — 4,200+ lines</w:t>
      </w:r>
    </w:p>
    <w:p>
      <w:pPr>
        <w:pBdr>
          <w:left w:val="single" w:color="3B82F6" w:sz="6"/>
        </w:pBdr>
        <w:shd w:fill="EFF6FF" w:color="EFF6FF" w:val="solid"/>
        <w:spacing w:before="120" w:after="120"/>
        <w:ind w:left="120"/>
      </w:pPr>
      <w:r>
        <w:rPr>
          <w:rFonts w:ascii="Calibri" w:cs="Calibri" w:eastAsia="Calibri" w:hAnsi="Calibri"/>
          <w:b/>
          <w:bCs/>
          <w:color w:val="3B82F6"/>
          <w:sz w:val="20"/>
          <w:szCs w:val="20"/>
        </w:rPr>
        <w:t xml:space="preserve">⚡ </w:t>
      </w:r>
      <w:r>
        <w:rPr>
          <w:rFonts w:ascii="Calibri" w:cs="Calibri" w:eastAsia="Calibri" w:hAnsi="Calibri"/>
          <w:b/>
          <w:bCs/>
          <w:color w:val="1E3A8A"/>
          <w:sz w:val="20"/>
          <w:szCs w:val="20"/>
        </w:rPr>
        <w:t xml:space="preserve">Generates a 9-tab Excel workbook where every single calculation cell contains a LIVE FORMULA — no hard-coded computed values.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 Name</w:t>
            </w:r>
          </w:p>
        </w:tc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Builder Module</w:t>
            </w:r>
          </w:p>
        </w:tc>
        <w:tc>
          <w:tcPr>
            <w:tcW w:type="pct" w:w="5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 Description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Info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build-company-info.ts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 sections: company ID, model config, Egypt regulatory/tax, report/preparer info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Summary Dashboard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build-dashboard.ts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switcher dropdown with IF()-formula metric rows that change dynamically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build-scenarios.ts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side-by-side scenario blocks (Base / Optimistic / Conservative) with 40+ assumption rows each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40+ assumption rows — the editable inputs that drive all formula tabs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Revenue → EPS waterfall with formulas referencing Assumptions tab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A = L + E with Cash as a plug formula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Flow Statement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Indirect method CF with formulas referencing IS and BS tabs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</w:t>
            </w:r>
          </w:p>
        </w:tc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excel.ts (main)</w:t>
            </w:r>
          </w:p>
        </w:tc>
        <w:tc>
          <w:tcPr>
            <w:tcW w:type="pct" w:w="5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Profitability, Liquidity, Leverage, Efficiency — all formula-driven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_Calc_Base/Opt/Con</w:t>
            </w:r>
          </w:p>
        </w:tc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build-calc-sheets.ts</w:t>
            </w:r>
          </w:p>
        </w:tc>
        <w:tc>
          <w:tcPr>
            <w:tcW w:type="pct" w:w="5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 hidden sheets with IS/BS/CF formula replicas per scenario (90 rows each)</w:t>
            </w:r>
          </w:p>
        </w:tc>
      </w:tr>
    </w:tbl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Export Sub-Modules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build-company-info.ts (131 lines) — Company metadata, regulatory defaults, color-coded editable vs auto-computed cells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build-scenarios.ts (471 lines) — Builds all assumption arrays per scenario; maps ROW_SPECS keys for cross-sheet references; includes ROIC, ICR, EBITDA Margin in Dashboard output metrics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build-calc-sheets.ts (835 lines) — Creates hidden formula sheets (_Calc_Base, _Calc_Opt, _Calc_Con) with 105-row IS/BS/CF replicas including Distributable Profit, Cumulative Legal Reserve, NOPAT, FCFF, EPD Paid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build-dashboard.ts (397 lines) — Scenario comparison with IF() formulas; includes Revenue, EBITDA, NI, EPS, CFO, FCF, Total Equity, ROIC, ICR, EBITDA Margin, ROE, ROA, Current Ratio, D/E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Key Excel Architecture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vs Projected visual styling — historical columns have blue tint, vertical separator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Back-computed assumptions — historical DSO, DIO, DPO are reverse-calculated from actual BS/IS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Cash plug formula: Cash = Total L+E − AR − Inventory − Prepaid − OCA − Total NCA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Balance check row: IF(ABS(TotalAssets − TotalL&amp;E) &lt; 1, "✓ Balanced", "✗ Imbalanced")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CF reconciliation: IF(ABS(EndingCash − BS.Cash) &lt; 0.01, "✓ Reconciles", "✗ Error")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Zebra-striping and negative-value red formatting applied automatically via applyZebraAndNegatives()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8.2 PDF Export (pdf.ts) — 49 KB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Multi-page professional report with cover page (company name, ticker, industry, generation date)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Income Statement, Balance Sheet, Cash Flow tables rendered via jsPDF AutoTable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Ratio analysis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Supports Egyptian locale with bilingual headers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8.3 CSV / JSON Export (csv-json.ts)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Plain data export in CSV and JSON formats for integration with external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Includes all statement data in structured format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9. Internationalization &amp; Egyptian Localization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9.1 Bilingual Labels (i18n/labels.ts)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80+ financial line items with English/Arabic label pairs covering Income Statement, Balance Sheet, Cash Flow, Ratios, and Egyptian-specific terms: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revenue:            { en: 'Revenue',              ar: 'الإيرادات'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accountsReceivable: { en: 'Accounts Receivable',  ar: 'المدينون'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netIncome:          { en: 'Net Income',            ar: 'صافي الربح'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vatRate:            { en: 'VAT Rate',              ar: 'معدل ضريبة القيمة المضافة' }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corporateTaxRate:   { en: 'Corporate Tax Rate',    ar: 'معدل الضريبة على الشركات' }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getLabel(key, language) function retrieves the appropriate label with English fallback.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9.2 Egyptian Depreciation Schedules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tax law prescribes specific depreciation rate ranges per asset class: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Asset Class</w:t>
            </w:r>
          </w:p>
        </w:tc>
        <w:tc>
          <w:tcPr>
            <w:tcW w:type="pct" w:w="2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 Name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Min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Max Rate</w:t>
            </w:r>
          </w:p>
        </w:tc>
        <w:tc>
          <w:tcPr>
            <w:tcW w:type="pct" w:w="1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Typical Rate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Buildings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مباني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Machinery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آلات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Vehicles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مركبات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12.5%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</w:tr>
      <w:tr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Computers</w:t>
            </w:r>
          </w:p>
        </w:tc>
        <w:tc>
          <w:tcPr>
            <w:tcW w:type="pct" w:w="2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حاسبات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  <w:tc>
          <w:tcPr>
            <w:tcW w:type="pct" w:w="1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33%</w:t>
            </w:r>
          </w:p>
        </w:tc>
      </w:tr>
      <w:tr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Furniture</w:t>
            </w:r>
          </w:p>
        </w:tc>
        <w:tc>
          <w:tcPr>
            <w:tcW w:type="pct" w:w="2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أثاث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1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calculateEgyptianBlendedRate(breakdown) computes a weighted-average depreciation rate from the asset-class mix.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Egyptian defaults: Corporate tax 22.5%, VAT 14%, Dividend withholding 10%.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Fiscal year presets: Calendar (January-December), Egyptian Government (July-June), Custom.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9.3 Egyptian Industry Templates (templates/egyptian-industries.ts)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5 pre-configured sector templates with bilingual names and typical assumption profiles: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pct" w:w="14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Arabic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Growth</w:t>
            </w:r>
          </w:p>
        </w:tc>
        <w:tc>
          <w:tcPr>
            <w:tcW w:type="pct" w:w="6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GM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SG&amp;A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DSO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DPO</w:t>
            </w:r>
          </w:p>
        </w:tc>
        <w:tc>
          <w:tcPr>
            <w:tcW w:type="pct" w:w="7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CapEx%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Real Estate &amp; Construction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العقارات والبناء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90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FMCG / Consumer Goods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سلع استهلاكية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12%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Telecom &amp; Technology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اتصالات وتكنولوجيا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50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15%</w:t>
            </w:r>
          </w:p>
        </w:tc>
      </w:tr>
      <w:tr>
        <w:tc>
          <w:tcPr>
            <w:tcW w:type="pct" w:w="1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Petrochemicals &amp; Energy</w:t>
            </w:r>
          </w:p>
        </w:tc>
        <w:tc>
          <w:tcPr>
            <w:tcW w:type="pct" w:w="14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بتروكيماويات وطاقة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  <w:tc>
          <w:tcPr>
            <w:tcW w:type="pct" w:w="6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</w:t>
            </w:r>
          </w:p>
        </w:tc>
        <w:tc>
          <w:tcPr>
            <w:tcW w:type="pct" w:w="7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pct" w:w="1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Tourism &amp; Hospitality</w:t>
            </w:r>
          </w:p>
        </w:tc>
        <w:tc>
          <w:tcPr>
            <w:tcW w:type="pct" w:w="14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سياحة وضيافة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18%</w:t>
            </w:r>
          </w:p>
        </w:tc>
        <w:tc>
          <w:tcPr>
            <w:tcW w:type="pct" w:w="6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45%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20%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25</w:t>
            </w:r>
          </w:p>
        </w:tc>
        <w:tc>
          <w:tcPr>
            <w:tcW w:type="pct" w:w="7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6%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template also includes a sector-specific asset-class mix (buildings/machinery/vehicles/computers/furniture) for Egyptian depreciation calculations. Use getTemplate(id) to retrieve.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10. Utility Functions (utils.ts)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Function</w:t>
            </w:r>
          </w:p>
        </w:tc>
        <w:tc>
          <w:tcPr>
            <w:tcW w:type="pct" w:w="6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formatCurrency(value, currency, compact)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Multi-currency formatting. ALWAYS uses en-US locale to ensure English numerals (0-9), never Arabic (٠-٩). Supports compact mode ($1.2M, $340K).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formatPercent(value, decimals)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Percentage formatting (e.g., "15.2%")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formatNumber(value, decimals)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Number formatting with en-US locale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formatEPS(value, currency)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EPS formatted with appropriate currency symbol</w:t>
            </w:r>
          </w:p>
        </w:tc>
      </w:tr>
      <w:tr>
        <w:tc>
          <w:tcPr>
            <w:tcW w:type="pct" w:w="3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colorForValue(value)</w:t>
            </w:r>
          </w:p>
        </w:tc>
        <w:tc>
          <w:tcPr>
            <w:tcW w:type="pct" w:w="6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Returns CSS color: green (&gt;0), red (&lt;0), or neutral</w:t>
            </w:r>
          </w:p>
        </w:tc>
      </w:tr>
      <w:tr>
        <w:tc>
          <w:tcPr>
            <w:tcW w:type="pct" w:w="3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cn(...classes)</w:t>
            </w:r>
          </w:p>
        </w:tc>
        <w:tc>
          <w:tcPr>
            <w:tcW w:type="pct" w:w="6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CSS class name joiner (filters falsy values)</w:t>
            </w:r>
          </w:p>
        </w:tc>
      </w:tr>
    </w:tbl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Supported currencies: USD ($), EGP (E£), EUR (€), GBP (£), SAR (SR), AED (AED).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11. UI Components (27 total)</w:t>
      </w: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11.1 Core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Sidebar.tsx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Navigation (19 tabs), Calculate button, Export buttons (Excel/PDF/CSV/JSON), dark mode toggle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Dashboard.tsx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KPI cards (Revenue, EBITDA, NI, EPS, FCF), Scenario comparison table with delta vs base case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Assumptions editor — all 60+ fields organized in collapsible sections by category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ValidationPage.tsx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~280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Displays 80+ integration checks (16 checks × projection years) with pass/fail indicators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11.2 Financial Statement Views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IncomeStatementPage.tsx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IS table with historical columns (blue tint) and projected columns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BalanceSheetPage.tsx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Assets, Liabilities, Equity sections with balance check indicator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CashFlowPage.tsx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~250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CFO/CFI/CFF sections with reconciliation indicator at bottom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RatiosPage.tsx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151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Financial ratios dashboard with color-coded thresholds (good/bad indicators)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11.3 Supporting Schedules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WorkingCapitalPage.tsx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~380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 metrics, NWC build, NWC as % of Revenue analysis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DepreciationPage.tsx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~290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 PP&amp;E rollforward, Egyptian asset-class mix sliders for blended rate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DebtSchedulePage.tsx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issuance/repayment timeline, beginning/ending balances, interest calc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11.4 Valuation &amp; Analysis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DCF valuation: WACC breakdown, FCF discounting table, terminal value, equity bridge, implied share price, WACC sensitivity matrix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ValuationPage.tsx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187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Trading multiples (P/E, EV/EBITDA, P/B, FCF Yield, Dividend Yield), EGX 30 benchmark comparison bar chart, implied share prices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CBEMetricsPage.tsx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219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Central Bank of Egypt regulatory metrics: Debt/EBITDA, Interest Coverage, Debt Service Coverage, Current Ratio, Net Debt/Equity with CBE threshold pass/fail indicators (policy rate 27.25%)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SensitivityPage.tsx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Tornado chart visualization + data table with one-way sensitivity results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MonteCarloPage.tsx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Histogram visualization + comprehensive percentile statistics panel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11.5 Scenario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 list with create / duplicate / delete actions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ScenarioSelector.tsx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~200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Quick scenario switcher component (shown on statement/schedule tabs)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ScenarioComparisonModal.tsx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~420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Full side-by-side scenario comparison modal with all key metrics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11.6 Settings &amp; Data Entry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CompanySettings.tsx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~115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Company name, ticker, industry, currency, country, fiscal year editor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EgyptianSettings.tsx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~310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VAT toggle, tax rates, fiscal year preset, asset-class depreciation mix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HistoricalImportPage.tsx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~430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CSV file import with automatic column mapping and preview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HistoricalDataInput.tsx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~350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Per-year historical data input form with balance validation</w:t>
            </w:r>
          </w:p>
        </w:tc>
      </w:tr>
    </w:tbl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11.7 Charts &amp; System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pct" w:w="10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pct" w:w="6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RevenueChart.tsx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~85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Revenue bar chart built with Recharts, shows historical + projected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MarginChart.tsx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~55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Gross/Operating/Net margin line chart with period labels</w:t>
            </w:r>
          </w:p>
        </w:tc>
      </w:tr>
      <w:tr>
        <w:tc>
          <w:tcPr>
            <w:tcW w:type="pct" w:w="28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ErrorBanner.tsx</w:t>
            </w:r>
          </w:p>
        </w:tc>
        <w:tc>
          <w:tcPr>
            <w:tcW w:type="pct" w:w="10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75</w:t>
            </w:r>
          </w:p>
        </w:tc>
        <w:tc>
          <w:tcPr>
            <w:tcW w:type="pct" w:w="6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Auto-dismissing (10s) error alert banner with Retry button, shown when calculateModel() throws</w:t>
            </w:r>
          </w:p>
        </w:tc>
      </w:tr>
      <w:tr>
        <w:tc>
          <w:tcPr>
            <w:tcW w:type="pct" w:w="28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ConflictModal.tsx</w:t>
            </w:r>
          </w:p>
        </w:tc>
        <w:tc>
          <w:tcPr>
            <w:tcW w:type="pct" w:w="10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76</w:t>
            </w:r>
          </w:p>
        </w:tc>
        <w:tc>
          <w:tcPr>
            <w:tcW w:type="pct" w:w="6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Multi-tab conflict detection modal — Keep Mine / Load Latest / Dismiss options when localStorage is modified by another tab</w:t>
            </w:r>
          </w:p>
        </w:tc>
      </w:tr>
    </w:tbl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12. Navigation &amp; Tab System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app uses a 19-tab system controlled by the Zustand store's activeTab field: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dashboard → income → balance → cashflow → ratios → model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working-capital → depreciation → debt-schedule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dcf → valuation → cbe-metrics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scenarios → sensitivity → montecarlo →</w:t>
      </w:r>
    </w:p>
    <w:p>
      <w:pPr>
        <w:shd w:fill="F8F9FA" w:color="F8F9FA" w:val="solid"/>
        <w:spacing w:after="20"/>
        <w:ind w:left="360"/>
      </w:pPr>
      <w:r>
        <w:rPr>
          <w:rFonts w:ascii="Consolas" w:cs="Consolas" w:eastAsia="Consolas" w:hAnsi="Consolas"/>
          <w:color w:val="3B82F6"/>
          <w:sz w:val="18"/>
          <w:szCs w:val="18"/>
        </w:rPr>
        <w:t xml:space="preserve">import → historicaldata → validation → company-settings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Each tab is rendered as a separate component in page.tsx based on the activeTab value. The Sidebar component provides navigation buttons with icons for each section.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Keyboard shortcuts: Ctrl+S → Calculate All Scenarios, Ctrl+Z → Undo, Ctrl+Shift+Z → Redo.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ScenarioSelector dropdown appears on: dashboard, income, balance, cashflow, working-capital, depreciation, debt-schedule tabs.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13. Data Flow Architecture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system follows a clear input → engine → output pipeline: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Input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Historical Data (2-3 years of actual financial data, entered manually or via CSV import)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Assumptions (60+ configurable parameters for projections)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Selection (Base / Optimistic / Conservative / Custom)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All state managed centrally in the Zustand store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Engine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integrator.runFullModel() orchestrates the entire calculation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Builds historical IS/BS/CF from raw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For each projection year: runs resolveCircularReferences() (up to 100 iterations per year)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Each iteration: IS → BS (cash=plug) → CF → check interest convergence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Validates integration with 16 cross-statement checks per year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Combines all periods and calculates 23 financial ratios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Output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UI Components — Dashboard, statement views, schedule pages, analysis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Excel Export — 9-tab workbook with 100% live formulas (no hard-coded values)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PDF Export — Multi-page professional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CSV/JSON Export — Raw data for external tools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Analysis &amp; Valuation Layer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Sensitivity Analysis — One-way and two-way parameter sweeps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Monte Carlo Simulation — 10,000 iterations with configurable distributions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Scenario Comparison — Side-by-side metric comparison across all scenarios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DCF Valuation — WACC (CAPM) → discounted FCFs → terminal value → implied share price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Trading Multiples — P/E, EV/EBITDA, P/B, FCF Yield, Dividend Yield vs EGX 30 benchmarks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CBE Regulatory Metrics — Debt/EBITDA, Interest Coverage, DSCR, Current Ratio, Net Debt/Equity</w:t>
      </w:r>
    </w:p>
    <w:p>
      <w:r>
        <w:br w:type="page"/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14. Key Design Decisions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1. Cash as Plug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Cash is the balancing item on the balance sheet: Cash = Total L+E − all other assets. This guarantees A = L+E always holds, which is critical for the iterative solver to work correctly.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2. Iterative Circular Resolution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The fundamental circular dependency (Interest → Net Income → Cash → CF → Interest) is resolved via iteration. The solver runs up to 100 rounds with a tolerance of 0.01 for interest values. This approach is simpler and more robust than algebraic solutions.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3. Revenue Chain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Revenue ALWAYS chains from previousRevenue × (1 + growthRate). There is no separate base for projections — the first projected year grows from the last historical revenue. This ensures consistency across the IS.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4. Average Balances for Interest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Interest expense = average(beginning, ending) total debt × interest rate. Interest income = average(beginning, ending) cash × interest income rate. This is standard financial modeling practice.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5. Back-Computed Historical Assumptions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For the Excel export, historical-period DSO, DIO, DPO, and other metrics are reverse-calculated from actual data. This allows every cell in the Excel to have a formula, even for historical periods.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6. Egyptian Localization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Full support for the Egyptian market: 22.5% corporate tax rate, 14% VAT, 5 asset-class depreciation with legal rate ranges, bilingual English/Arabic labels, and Egyptian government fiscal year (July-June) support.</w:t>
      </w:r>
    </w:p>
    <w:p>
      <w:pPr>
        <w:pStyle w:val="Heading3"/>
        <w:spacing w:before="200" w:after="60"/>
      </w:pPr>
      <w:r>
        <w:rPr>
          <w:rFonts w:ascii="Calibri" w:cs="Calibri" w:eastAsia="Calibri" w:hAnsi="Calibri"/>
          <w:b/>
          <w:bCs/>
          <w:color w:val="3B82F6"/>
          <w:sz w:val="22"/>
          <w:szCs w:val="22"/>
        </w:rPr>
        <w:t xml:space="preserve">7. Zustand + localStorage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0"/>
          <w:szCs w:val="20"/>
        </w:rPr>
        <w:t xml:space="preserve">State persists across browser refreshes via the zustand/middleware/persist module. Only essential fields are persisted (via partialize), while computed results and UI state are excluded.</w:t>
      </w:r>
    </w:p>
    <w:p>
      <w:pPr>
        <w:pStyle w:val="Heading1"/>
        <w:pBdr>
          <w:bottom w:val="single" w:color="3B82F6" w:sz="3"/>
        </w:pBdr>
        <w:spacing w:before="360" w:after="120"/>
      </w:pPr>
      <w:r>
        <w:rPr>
          <w:rFonts w:ascii="Calibri" w:cs="Calibri" w:eastAsia="Calibri" w:hAnsi="Calibri"/>
          <w:b/>
          <w:bCs/>
          <w:color w:val="1E3A8A"/>
          <w:sz w:val="32"/>
          <w:szCs w:val="32"/>
        </w:rPr>
        <w:t xml:space="preserve">15. Known Limitations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pct" w:w="53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pct" w:w="25%"/>
            <w:shd w:fill="1E3A8A" w:color="1E3A8A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Workaround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Circular References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Iterative solver may not converge with extreme assumptions (200%+ debt ratios)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realistic assumption ranges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Interest Calculation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Uses beginning-of-period debt (flat rate × beginning balance) — no mid-period debt changes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Acceptable for most modeling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Balancing Plug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Cash is used as the plug when BS doesn't balance exactly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Check balanceDifference field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Tax Loss Carryforward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Not implemented — negative EBT still applies tax rate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Set tax rate to 0% for loss scenarios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Goodwill &amp; Intangibles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Static from assumptions — no impairment testing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Manually update assumptions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Working Capital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DSO/DIO/DPO-driven — no seasonal or cyclical variation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 for annual models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Debt Structure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Constant debt levels unless assumption overrides used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scenario manager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Performance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Monte Carlo with 10,000+ iterations can freeze UI for 5-15s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Reduce iteration count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PDF Export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Landscape A4 — may truncate columns with 8+ projected years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Use Excel export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Browser Storage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Model state persisted in localStorage — limited to ~5MB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Export to JSON regularly</w:t>
            </w:r>
          </w:p>
        </w:tc>
      </w:tr>
      <w:tr>
        <w:tc>
          <w:tcPr>
            <w:tcW w:type="pct" w:w="22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Single Currency</w:t>
            </w:r>
          </w:p>
        </w:tc>
        <w:tc>
          <w:tcPr>
            <w:tcW w:type="pct" w:w="53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No foreign exchange conversion or multi-currency balance sheets</w:t>
            </w:r>
          </w:p>
        </w:tc>
        <w:tc>
          <w:tcPr>
            <w:tcW w:type="pct" w:w="25%"/>
            <w:shd w:fill="F3F4F6" w:color="F3F4F6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Future enhancement planned</w:t>
            </w:r>
          </w:p>
        </w:tc>
      </w:tr>
      <w:tr>
        <w:tc>
          <w:tcPr>
            <w:tcW w:type="pct" w:w="22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Undo/Redo</w:t>
            </w:r>
          </w:p>
        </w:tc>
        <w:tc>
          <w:tcPr>
            <w:tcW w:type="pct" w:w="53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Only tracks assumption changes, not scenario additions/deletions</w:t>
            </w:r>
          </w:p>
        </w:tc>
        <w:tc>
          <w:tcPr>
            <w:tcW w:type="pct" w:w="25%"/>
            <w:shd w:fill="FFFFFF" w:color="FFFFF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18"/>
                <w:szCs w:val="18"/>
              </w:rPr>
              <w:t xml:space="preserve">N/A</w:t>
            </w:r>
          </w:p>
        </w:tc>
      </w:tr>
    </w:tbl>
    <w:p>
      <w:pPr>
        <w:spacing w:after="40"/>
      </w:pPr>
    </w:p>
    <w:p>
      <w:pPr>
        <w:pStyle w:val="Heading2"/>
        <w:spacing w:before="280" w:after="80"/>
      </w:pPr>
      <w:r>
        <w:rPr>
          <w:rFonts w:ascii="Calibri" w:cs="Calibri" w:eastAsia="Calibri" w:hAnsi="Calibri"/>
          <w:b/>
          <w:bCs/>
          <w:color w:val="1E3A8A"/>
          <w:sz w:val="26"/>
          <w:szCs w:val="26"/>
        </w:rPr>
        <w:t xml:space="preserve">Planned Improvements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Web Worker for Monte Carlo (non-blocking UI)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Tax loss carryforward logic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Debt covenants and revolving credit facility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Real-time API integration (Yahoo Finance, FMP)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Multi-currency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Industry-specific templates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3-Statement Financial Model Engine — Technical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</w:pPr>
    <w:rPr>
      <w:rFonts w:ascii="Calibri" w:cs="Calibri" w:eastAsia="Calibri" w:hAnsi="Calibri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</w:pPr>
    <w:rPr>
      <w:rFonts w:ascii="Calibri" w:cs="Calibri" w:eastAsia="Calibri" w:hAnsi="Calibri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</w:pPr>
    <w:rPr>
      <w:rFonts w:ascii="Calibri" w:cs="Calibri" w:eastAsia="Calibri" w:hAnsi="Calibri"/>
      <w:b/>
      <w:bCs/>
      <w:color w:val="3B82F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3-Statement Financial Model Engine — Complete Technical Overview</dc:title>
  <dc:creator>Financial Model Engine</dc:creator>
  <dc:description>Complete technical overview of the 3-Statement Financial Model Engine</dc:description>
  <cp:lastModifiedBy>Un-named</cp:lastModifiedBy>
  <cp:revision>1</cp:revision>
  <dcterms:created xsi:type="dcterms:W3CDTF">2026-03-09T20:38:15.614Z</dcterms:created>
  <dcterms:modified xsi:type="dcterms:W3CDTF">2026-03-09T20:38:15.615Z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