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E3A8A"/>
          <w:sz w:val="52"/>
          <w:szCs w:val="52"/>
        </w:rPr>
        <w:t xml:space="preserve">3-Statement Financial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E3A8A"/>
          <w:sz w:val="52"/>
          <w:szCs w:val="52"/>
        </w:rPr>
        <w:t xml:space="preserve">Model Engine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3B82F6"/>
          <w:sz w:val="16"/>
          <w:szCs w:val="16"/>
        </w:rPr>
        <w:t xml:space="preserve">━━━━━━━━━━━━━━━━━━━━━━━━━━━━━━━━━━━━━━━━━━━━━━━━━━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6B7280"/>
          <w:sz w:val="28"/>
          <w:szCs w:val="28"/>
        </w:rPr>
        <w:t xml:space="preserve">Complete Technical Overview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Framework: Next.js 16 + React 19 + TypeScript 5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Engine: 7 calculation modules incl. DCF, Valuation, Circular Resolver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Validation: 28 integration checks + AI Validation Agent (Claude-powered)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Export: Excel (9 tabs, live formulas) · PDF · CSV · JSON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Analysis: Monte Carlo · Sensitivity · Scenario Comparison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Valuation: DCF (WACC/CAPM) · Trading Multiples · EGX 30 Benchmarks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Compliance: Egyptian Law 159/1981 Profit Waterfall · Law 91/2005 Tax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Localization: English / Arabic · Egyptian Market · CBE Metrics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27 UI Components · 19 Navigation Tabs · Zustand State Management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Generated: March 14, 2026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Table of Contents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Technology Stack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Project Structure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Type System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Engine Layer (7 modules)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Egyptian Profit Appropriation Waterfall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Financial Ratios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Analysis Tools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8.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State Management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9.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Export Layer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10.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Internationalization &amp; Egyptian Localization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11.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Utility Functions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12.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UI Components (27 total)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13.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Navigation &amp; Tab System (19 tabs)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14.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Data Flow Architecture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15.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AI Validation Agent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16.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Key Design Decisions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17.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Known Limitations &amp; Planned Improvements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1.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pct" w:w="4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Framework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Next.js (Turbopack)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16.1.6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Language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TypeScript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5.x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UI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React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19.2.3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State Management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Zustand (persist middleware)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5.0.11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Charts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Recharts + D3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3.7 / 7.9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 Export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ExcelJS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4.4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PDF Export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jsPDF + AutoTable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4.1 / 5.0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Validation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Zod + TypeBox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4.3 / 0.34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CSS Framework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Tailwind CSS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4.x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Math Library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mathjs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15.1</w:t>
            </w:r>
          </w:p>
        </w:tc>
      </w:tr>
    </w:tbl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2. Project Structure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3_Statement_Model_Engine/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├── app/                        # Next.js app router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page.tsx                # Main page (tab router)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layout.tsx              # Root layout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└── globals.css             # Design system (8.9 KB)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├── types/                      # TypeScript interfaces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assumptions.ts          # AssumptionSet (60+ fields), HistoricalInputs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financial.ts            # IS, BS, CF, Ratios, IntegrationChecks, ModelResults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historical.ts           # HistoricalDataInput, converters, validators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└── scenario.ts             # Scenario, ModelState, Monte Carlo types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├── lib/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engines/                # Core calculation engine (7 modules)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income-statement.ts # Revenue → Net Income waterfall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balance-sheet.ts    # All asset/liability/equity calculations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cash-flow.ts        # Indirect method CF generation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circular-resolver.ts# Iterative solver + 16 integration checks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integrator.ts       # Master orchestrator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dcf.ts              # DCF valuation (WACC/CAPM/Gordon Growth)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└── valuation.ts        # Trading multiples + EGX 30 benchmarks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export/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excel.ts            # 9-tab Excel workbook (103 KB of formulas)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pdf.ts              # Multi-page PDF report (49 KB)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└── csv-json.ts         # CSV + JSON data export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agents/                 # AI Validation Agent (5 modules)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validation-agent.ts  # Main orchestrator (Phase 1: local, Phase 2: Claude AI)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validation-rules.ts  # 19 deterministic checks (626 lines)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validation-types.ts  # ValidationReport, Finding, Config types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validation-prompt.ts # Claude API system prompt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└── multi-scenario-validator.ts  # Cross-scenario validator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store.ts                # Zustand store (28 KB, 20+ actions)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ratios.ts               # 35+ financial ratios (DuPont, Altman Z, Break-Even)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monte-carlo.ts          # Monte Carlo simulation (4 distributions)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sensitivity.ts          # 1-way and 2-way sensitivity analysis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scenario-manager.ts     # Scenario CRUD + comparison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scenarios.ts            # Pre-defined scenario definitions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i18n/labels.ts          # Bilingual labels (English / Arabic)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templates/egyptian-industries.ts  # 5 sector-specific assumption templates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schedules/egyptian-depreciation.ts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└── utils.ts                # Multi-currency formatting utilities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└── components/                 # 27 React UI components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Dashboard, Sidebar, ModelPage, ValidationPage, ...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DCFPage, ValuationPage, CBEMetricsPage    (NEW)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ErrorBanner, ConflictModal                (NEW)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charts/ (RevenueChart, MarginChart)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statements/ (IS, BS, CF pages)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└── schedules/ (WorkingCapital, Depreciation, Debt)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3. Type System (types/)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3.1 AssumptionSet (assumptions.ts) — 90+ fields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main projection configuration organized by category. Fields marked with [] are per-projection-year arrays: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1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pct" w:w="79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revenueBase, revenueGrowthRate[]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Margins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cogsPercent[], sgaPercent[], rdPercent[], otherOpexPercent[]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dso[], dio[], dpo[], prepaidPercent[], accruedExpPercent[], deferredRevPercent[]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CapEx &amp; Depr.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capexPercent[], depreciationRate[], amortizationAmount[], depreciationMethod (straight-line|declining-balance|egyptian-tax)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&amp; Financing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cbeRate (27.25%), interestRateOnDebt[] ([22%,22%,20%,18%,18%]), interestRateOnCash[], legacyDebtRate (4.5%), shortTermDebtAmount[], longTermDebtIssuance[], longTermDebtRepayment[], currentPortionLTD[]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Equity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sharesOutstanding[], dividendPayoutRatio[], shareRepurchaseAmount[], stockBasedCompAmount[], commonStock[], apic[], oci[], equityIssuance[]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&amp; Regime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taxRate[] (default 22.5%), taxRegime (standard|oil|strategic|sme), enableVAT, vatRate (14%)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Employee Profit Sharing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employeeProfitSharingRate (10%), enableEmployeeProfitShare, totalAnnualPayroll (EPD cap)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Loss Carryforward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enableTaxLossCarryforward, taxLossCarryforwardYears (5) — Tax Law Art. 29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Legal Reserve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enableLegalReserve, legalReservePercent (5%), paidUpCapital, legalReserveCap (50%), initialLegalReserve — Companies Law Art. 40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Dividend WHT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dividendWithholdingTaxRate (10% unlisted / 5% EGX-listed), isEGXListed — Law 30/2023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End of Service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enableEndOfServiceBenefit, averageMonthlyBasicSalary, numberOfEmployees[] — Labor Law + EAS 38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 / Valuation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riskFreeRate (20%), beta (1.0), equityRiskPremium (10.5%), terminalGrowthRate (7%), sharePrice (optional)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Inflation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inflationRate[] ([25%,18%,14%,10%,8%]), linkRevenueToInflation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Sector Preset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sectorPreset (technology|manufacturing|retail|government-contractor|export-oriented|real-estate|custom)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 Mix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assetMix.buildings (30%), .machinery (35%), .vehicles (15%), .computers (10%), .furniture (10%)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Egyptian Preset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countryPreset, useEgyptianRates, dividendWithholdingRate, fiscalYearEnd, fiscalYearPreset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Other BS Items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goodwill[], otherLongTermAssets[], otherCurrentAssets[], otherCurrentLiabilities[], deferredTaxLiabilities[], otherLongTermLiabilities[]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Investing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acquisitions[], assetSales[], investmentPurchases[], investmentSales[]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 Config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projectionYears (5), historicalYears (2), startYear (2026), fiscalYearEnd (6=June)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getDefaultAssumptions() → Egyptian-market defaults with CBE-linked rates. getDefaultHistoricalInputs() → 2-period (2024/2025) balanced demo data with RE calculated as plug.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3.2 Financial Statement Interfaces (financial.ts)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Fields</w:t>
            </w:r>
          </w:p>
        </w:tc>
        <w:tc>
          <w:tcPr>
            <w:tcW w:type="pct" w:w="5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IncomeStatement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26 fields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→ EPS waterfall, includes VAT memo fields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BalanceSheet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 fields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A = L + E with isBalanced check flag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CashFlowStatement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 fields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CFO/CFI/CFF sections + FCF + reconciliation flag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FinancialRatios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23 fields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Profitability, Liquidity, Leverage, Efficiency ratios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IntegrationChecks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 booleans + details[]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Cross-statement validation results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DCFValuation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13 fields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fcfProjections[], discountedFCFs[], terminalValue, pvTerminalValue, EV, netDebt, equityValue, impliedSharePrice, wacc, costOfEquity, costOfDebt, debtWeight, equityWeight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ValuationMultiples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 fields (nullable)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pe, evEbitda, priceBook, fcfYield, dividendYield, marketCap, enterpriseValueMarket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EGXBenchmarks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 range objects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pe/evEbitda/priceBook each with {low, high, avg} for EGX 30 benchmarks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ModelResults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Combined arrays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IS[] + BS[] + CF[] + Ratios[] + IntegrationChecks[] + ConvergenceInfo + DCFValuation? + ValuationMultiples?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3.3 Historical Data (historical.ts)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HistoricalDataInput — Per-year input object with 55+ fields, user-editable through the UI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convertToHistoricalInputs() — Bridges per-year object format → parallel array format for the engine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buildHistoricalYear() — Auto-computes derived totals (totalCurrentAssets, totalAssets, etc.) and uses retained earnings as plug so balance sheet always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validateHistoricalBalance() — Returns error string if Assets ≠ Liabilities + Equity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3.4 Scenario &amp; Analysis Types (scenario.ts)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ModelState — Global application state interface: company info, 15 navigation tabs, undo/redo stacks, errors/warnings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 — { id, name, type, assumptions, results, createdAt, updatedAt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ScenarioType — 'base' | 'optimistic' | 'conservative' | 'custom'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Distribution — { type: normal|uniform|triangular|lognormal, params: {mean, stdDev, min, max, mode}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MonteCarloConfig — iterations count, variable-to-distribution map, output metrics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MonteCarloResult — values array + statistics (mean, median, stdDev, p10/p25/p50/p75/p90, min, max)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4. Engine Layer (lib/engines/)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4.1 Income Statement Engine (income-statement.ts)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calculateIncomeStatement(inputs) builds a single projected IS using the waterfall: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Revenue = previousRevenue × (1 + growthRate)     ← ALWAYS chains from prior period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COGS = Revenue × cogsPercent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Gross Profit = Revenue − COGS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SG&amp;A = Revenue × sgaPercent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R&amp;D = Revenue × rdPercent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Depreciation = from PP&amp;E schedule (passed in from circular resolver)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Amortization = fixed amount from assumptions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Other OpEx = Revenue × otherOpexPercent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SBC = fixed amount from assumptions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Total OpEx = SG&amp;A + R&amp;D + D&amp;A + Other + SBC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EBIT = Gross Profit − Total OpEx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EBITDA = EBIT + Depreciation + Amortization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Interest Income = from average cash balance (passed in)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Interest Expense = from average debt balance (passed in)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Other Income/Expense = from assumptions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EBT = EBIT + Interest Income − Interest Expense + Other Income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Tax = max(0, EBT × taxRate)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Net Income = EBT − Tax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EPS = Net Income / Shares Outstanding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Also supports VAT memo fields for Egyptian market: revenueInclVAT, revenueExclVAT, vatCollected (only when enableVAT is true).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buildHistoricalIncomeStatements() constructs IS array from raw historical data arrays, computing growth rates from period-over-period changes.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4.2 Balance Sheet Engine (balance-sheet.ts)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calculateBalanceSheet(inputs) builds a single projected BS. Every item is derived from assumptions or the income statement: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Balance Sheet Item</w:t>
            </w:r>
          </w:p>
        </w:tc>
        <w:tc>
          <w:tcPr>
            <w:tcW w:type="pct" w:w="7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Calculation Formula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Accounts Receivable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DSO / 365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Inventory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COGS × DIO / 365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Prepaid Expenses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prepaidPercent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Other Current Assets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otherCAPercent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Current Assets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Cash + AR + Inventory + Prepaid + OCA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PP&amp;E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Gross PP&amp;E + CapEx (Revenue × capexPercent)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Accumulated Depreciation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Accum Dep + Current Depreciation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PP&amp;E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PP&amp;E − Accumulated Depreciation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Intangibles / Goodwill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From assumptions (fixed amounts)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Other Long-Term Assets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Assets × otherLTAPercent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Accounts Payable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COGS × DPO / 365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Accrued Expenses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accruedExpPercent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Deferred Revenue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deferredRevPercent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Short-Term Debt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From assumptions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Long-Term Debt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LTD + Issuance − Repayment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Deferred Tax Liabilities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Liabilities × deferredTaxLiabilityPercent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Retained Earnings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RE + Net Income − Dividends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APIC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APIC + SBC + Equity Issuance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Treasury Stock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Treasury − Share Repurchases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&amp; Equivalents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PLUG → Total L+E − all other assets (ensures A = L+E)</w:t>
            </w:r>
          </w:p>
        </w:tc>
      </w:tr>
    </w:tbl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Cash is the balancing "plug" item: Cash = Total Liabilities + Equity − all other asset items. This guarantees the balance sheet always balances.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Helper functions provided: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calculateDepreciation(previousGrossPPE, capex, depreciationRate) — straight-line on gross PP&amp;E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calculateInterestExpense(beginDebt, endDebt, interestRate) — based on average debt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calculateInterestIncome(beginCash, endCash, interestIncomeRate) — based on average cash balance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4.3 Cash Flow Statement Engine (cash-flow.ts) — Indirect Method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calculateCashFlow(inputs) derives the cash flow from the income statement and balance sheet changes: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OPERATING ACTIVITIES: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Net Income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Depreciation &amp; Amortization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Stock-Based Compensation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Deferred Tax Changes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Working Capital Changes: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− Change in Accounts Receivable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− Change in Inventory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− Change in Prepaid Expenses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+ Change in Accounts Payable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+ Change in Accrued Expenses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+ Change in Deferred Revenue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= Cash from Operations (CFO)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INVESTING ACTIVITIES: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Capital Expenditures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Acquisitions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Asset Sales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= Cash from Investing (CFI)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FINANCING ACTIVITIES: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Debt Issuance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Debt Repayment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Dividends Paid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Equity Issuance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Share Repurchases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= Cash from Financing (CFF)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Net Change in Cash = CFO + CFI + CFF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Free Cash Flow = CFO − CapEx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Ending Cash = Beginning Cash + Net Change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Reconciles? = |Ending Cash − BS Cash| &lt; 0.01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Reconciliation utility (cash-flow-indirect.ts): Provides validateAllReconciliations() which checks that CF ending cash matches BS cash within $0.01 for every period. Re-exports the core CF engine functions.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4.4 Circular Resolver (circular-resolver.ts) — THE HEART OF THE ENGINE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This module resolves the fundamental circular dependency in a 3-statement model: Debt → Interest Expense → Net Income → Retained Earnings → Equity → Debt capacity → Debt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resolveCircularReferences(assumptions, yearIndex, prevIS, prevBS, taxLossVintages, priorLegalReserve) operates as follows: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Starts with initial estimates from previous period: estimatedDepreciation, estimatedInterestExpense, estimatedInterestIncome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Iterates up to 500 times (configurable, tolerance = 0.01), converging on ending cash: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1: Calculate NWC from prior BS for FCFF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2: Calculate Income Statement with current estimates (full waterfall incl. profit appropriation)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3: Calculate Balance Sheet (first pass, cash = null → uses prior cash)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4: Recalculate IS with actual NWC from BS (for correct FCFF)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5: Calculate Cash Flow Statement from final IS and BS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6: Update BS with CF ending cash (cash plug)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7: Update interest estimates from updated balances for next iteration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Check convergence: delta = |new ending cash − previous ending cash|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If delta &lt; tolerance → converged ✓, exit loop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Returns { incomeStatement, balanceSheet, cashFlow, converged, iterations, finalDelta, updatedTaxLossVintages, newLegalReserve }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28 Integration Checks (validateIntegration)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After convergence, the engine validates cross-statement consistency with 28 checks. The first 16 are structural, checks 17–28 are Egyptian compliance checks: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26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Check Name</w:t>
            </w:r>
          </w:p>
        </w:tc>
        <w:tc>
          <w:tcPr>
            <w:tcW w:type="pct" w:w="6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Validation Formula</w:t>
            </w:r>
          </w:p>
        </w:tc>
      </w:tr>
      <w:tr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pct" w:w="2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Assets Balance</w:t>
            </w:r>
          </w:p>
        </w:tc>
        <w:tc>
          <w:tcPr>
            <w:tcW w:type="pct" w:w="6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Assets = Total Liabilities + Equity</w:t>
            </w:r>
          </w:p>
        </w:tc>
      </w:tr>
      <w:tr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pct" w:w="2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Ties to CF</w:t>
            </w:r>
          </w:p>
        </w:tc>
        <w:tc>
          <w:tcPr>
            <w:tcW w:type="pct" w:w="6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 Ending Cash ≈ BS Cash (within 0.01)</w:t>
            </w:r>
          </w:p>
        </w:tc>
      </w:tr>
      <w:tr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pct" w:w="2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Income Flows</w:t>
            </w:r>
          </w:p>
        </w:tc>
        <w:tc>
          <w:tcPr>
            <w:tcW w:type="pct" w:w="6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 Net Income = CF Net Income (starting point)</w:t>
            </w:r>
          </w:p>
        </w:tc>
      </w:tr>
      <w:tr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pct" w:w="2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PP&amp;E Ties</w:t>
            </w:r>
          </w:p>
        </w:tc>
        <w:tc>
          <w:tcPr>
            <w:tcW w:type="pct" w:w="6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Gross PPE = Prior Gross PPE + CapEx</w:t>
            </w:r>
          </w:p>
        </w:tc>
      </w:tr>
      <w:tr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pct" w:w="2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Retained Earnings Roll</w:t>
            </w:r>
          </w:p>
        </w:tc>
        <w:tc>
          <w:tcPr>
            <w:tcW w:type="pct" w:w="6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 = Prior RE + Addition to RE</w:t>
            </w:r>
          </w:p>
        </w:tc>
      </w:tr>
      <w:tr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</w:t>
            </w:r>
          </w:p>
        </w:tc>
        <w:tc>
          <w:tcPr>
            <w:tcW w:type="pct" w:w="2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Long-Term Debt Ties</w:t>
            </w:r>
          </w:p>
        </w:tc>
        <w:tc>
          <w:tcPr>
            <w:tcW w:type="pct" w:w="6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LTD = Prior LTD + Issuance − Repayment</w:t>
            </w:r>
          </w:p>
        </w:tc>
      </w:tr>
      <w:tr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</w:t>
            </w:r>
          </w:p>
        </w:tc>
        <w:tc>
          <w:tcPr>
            <w:tcW w:type="pct" w:w="2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 Reconciliation</w:t>
            </w:r>
          </w:p>
        </w:tc>
        <w:tc>
          <w:tcPr>
            <w:tcW w:type="pct" w:w="6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Change = CFO + CFI + CFF</w:t>
            </w:r>
          </w:p>
        </w:tc>
      </w:tr>
      <w:tr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</w:t>
            </w:r>
          </w:p>
        </w:tc>
        <w:tc>
          <w:tcPr>
            <w:tcW w:type="pct" w:w="2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 Ties</w:t>
            </w:r>
          </w:p>
        </w:tc>
        <w:tc>
          <w:tcPr>
            <w:tcW w:type="pct" w:w="6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WC changes in CF match BS deltas (AR, Inv, AP)</w:t>
            </w:r>
          </w:p>
        </w:tc>
      </w:tr>
      <w:tr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</w:t>
            </w:r>
          </w:p>
        </w:tc>
        <w:tc>
          <w:tcPr>
            <w:tcW w:type="pct" w:w="2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Current Assets</w:t>
            </w:r>
          </w:p>
        </w:tc>
        <w:tc>
          <w:tcPr>
            <w:tcW w:type="pct" w:w="6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+ AR + Inv + Prepaid + OCA = TCA</w:t>
            </w:r>
          </w:p>
        </w:tc>
      </w:tr>
      <w:tr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</w:t>
            </w:r>
          </w:p>
        </w:tc>
        <w:tc>
          <w:tcPr>
            <w:tcW w:type="pct" w:w="2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Non-Current Assets</w:t>
            </w:r>
          </w:p>
        </w:tc>
        <w:tc>
          <w:tcPr>
            <w:tcW w:type="pct" w:w="6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PPE + Intangibles + Goodwill + OLTA = TNCA</w:t>
            </w:r>
          </w:p>
        </w:tc>
      </w:tr>
      <w:tr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11</w:t>
            </w:r>
          </w:p>
        </w:tc>
        <w:tc>
          <w:tcPr>
            <w:tcW w:type="pct" w:w="2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Current Liabilities</w:t>
            </w:r>
          </w:p>
        </w:tc>
        <w:tc>
          <w:tcPr>
            <w:tcW w:type="pct" w:w="6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 + Accrued + ST Debt + CPLTD + DeferredRev + OCL = TCL</w:t>
            </w:r>
          </w:p>
        </w:tc>
      </w:tr>
      <w:tr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</w:t>
            </w:r>
          </w:p>
        </w:tc>
        <w:tc>
          <w:tcPr>
            <w:tcW w:type="pct" w:w="2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Non-Current Liabilities</w:t>
            </w:r>
          </w:p>
        </w:tc>
        <w:tc>
          <w:tcPr>
            <w:tcW w:type="pct" w:w="6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LTD + DTL + OLTL + EOS = TNCL</w:t>
            </w:r>
          </w:p>
        </w:tc>
      </w:tr>
      <w:tr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13</w:t>
            </w:r>
          </w:p>
        </w:tc>
        <w:tc>
          <w:tcPr>
            <w:tcW w:type="pct" w:w="2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Equity</w:t>
            </w:r>
          </w:p>
        </w:tc>
        <w:tc>
          <w:tcPr>
            <w:tcW w:type="pct" w:w="6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CommonStock + APIC + LegalReserve + RE + Treasury + OCI = TE</w:t>
            </w:r>
          </w:p>
        </w:tc>
      </w:tr>
      <w:tr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14</w:t>
            </w:r>
          </w:p>
        </w:tc>
        <w:tc>
          <w:tcPr>
            <w:tcW w:type="pct" w:w="2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 Waterfall</w:t>
            </w:r>
          </w:p>
        </w:tc>
        <w:tc>
          <w:tcPr>
            <w:tcW w:type="pct" w:w="6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− COGS − OpEx − Interest − Tax = Net Income</w:t>
            </w:r>
          </w:p>
        </w:tc>
      </w:tr>
      <w:tr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</w:t>
            </w:r>
          </w:p>
        </w:tc>
        <w:tc>
          <w:tcPr>
            <w:tcW w:type="pct" w:w="2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EBITDA Identity</w:t>
            </w:r>
          </w:p>
        </w:tc>
        <w:tc>
          <w:tcPr>
            <w:tcW w:type="pct" w:w="6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EBITDA = EBIT + Depreciation + Amortization</w:t>
            </w:r>
          </w:p>
        </w:tc>
      </w:tr>
      <w:tr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</w:t>
            </w:r>
          </w:p>
        </w:tc>
        <w:tc>
          <w:tcPr>
            <w:tcW w:type="pct" w:w="2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APIC Consistency</w:t>
            </w:r>
          </w:p>
        </w:tc>
        <w:tc>
          <w:tcPr>
            <w:tcW w:type="pct" w:w="6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ΔAPIC = Equity Issuance + SBC</w:t>
            </w:r>
          </w:p>
        </w:tc>
      </w:tr>
      <w:tr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17</w:t>
            </w:r>
          </w:p>
        </w:tc>
        <w:tc>
          <w:tcPr>
            <w:tcW w:type="pct" w:w="2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EPD Calculation</w:t>
            </w:r>
          </w:p>
        </w:tc>
        <w:tc>
          <w:tcPr>
            <w:tcW w:type="pct" w:w="6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EPD = NI × EPD Rate (0 if NI ≤ 0)</w:t>
            </w:r>
          </w:p>
        </w:tc>
      </w:tr>
      <w:tr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18</w:t>
            </w:r>
          </w:p>
        </w:tc>
        <w:tc>
          <w:tcPr>
            <w:tcW w:type="pct" w:w="2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NI After EPD</w:t>
            </w:r>
          </w:p>
        </w:tc>
        <w:tc>
          <w:tcPr>
            <w:tcW w:type="pct" w:w="6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NI After EPD = Net Income − Employee Profit Sharing</w:t>
            </w:r>
          </w:p>
        </w:tc>
      </w:tr>
      <w:tr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19</w:t>
            </w:r>
          </w:p>
        </w:tc>
        <w:tc>
          <w:tcPr>
            <w:tcW w:type="pct" w:w="2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Distributable Profit</w:t>
            </w:r>
          </w:p>
        </w:tc>
        <w:tc>
          <w:tcPr>
            <w:tcW w:type="pct" w:w="6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NI − EPD − Legal Reserve Addition</w:t>
            </w:r>
          </w:p>
        </w:tc>
      </w:tr>
      <w:tr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20</w:t>
            </w:r>
          </w:p>
        </w:tc>
        <w:tc>
          <w:tcPr>
            <w:tcW w:type="pct" w:w="2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Dividends ≤ Distributable</w:t>
            </w:r>
          </w:p>
        </w:tc>
        <w:tc>
          <w:tcPr>
            <w:tcW w:type="pct" w:w="6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Dividends capped at MAX(0, Distributable Profit)</w:t>
            </w:r>
          </w:p>
        </w:tc>
      </w:tr>
      <w:tr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21</w:t>
            </w:r>
          </w:p>
        </w:tc>
        <w:tc>
          <w:tcPr>
            <w:tcW w:type="pct" w:w="2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Dividends</w:t>
            </w:r>
          </w:p>
        </w:tc>
        <w:tc>
          <w:tcPr>
            <w:tcW w:type="pct" w:w="6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Dividends = Gross − WHT</w:t>
            </w:r>
          </w:p>
        </w:tc>
      </w:tr>
      <w:tr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22</w:t>
            </w:r>
          </w:p>
        </w:tc>
        <w:tc>
          <w:tcPr>
            <w:tcW w:type="pct" w:w="2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Addition to RE</w:t>
            </w:r>
          </w:p>
        </w:tc>
        <w:tc>
          <w:tcPr>
            <w:tcW w:type="pct" w:w="6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Distributable Profit − Gross Dividends</w:t>
            </w:r>
          </w:p>
        </w:tc>
      </w:tr>
      <w:tr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23</w:t>
            </w:r>
          </w:p>
        </w:tc>
        <w:tc>
          <w:tcPr>
            <w:tcW w:type="pct" w:w="2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NOPAT</w:t>
            </w:r>
          </w:p>
        </w:tc>
        <w:tc>
          <w:tcPr>
            <w:tcW w:type="pct" w:w="6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EBIT × (1 − effective tax rate); statutory fallback when EBT ≤ 0</w:t>
            </w:r>
          </w:p>
        </w:tc>
      </w:tr>
      <w:tr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24</w:t>
            </w:r>
          </w:p>
        </w:tc>
        <w:tc>
          <w:tcPr>
            <w:tcW w:type="pct" w:w="2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Legal Reserve Roll</w:t>
            </w:r>
          </w:p>
        </w:tc>
        <w:tc>
          <w:tcPr>
            <w:tcW w:type="pct" w:w="6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LR = Prior LR + LR Addition (from IS)</w:t>
            </w:r>
          </w:p>
        </w:tc>
      </w:tr>
      <w:tr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</w:t>
            </w:r>
          </w:p>
        </w:tc>
        <w:tc>
          <w:tcPr>
            <w:tcW w:type="pct" w:w="2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Loss Utilization</w:t>
            </w:r>
          </w:p>
        </w:tc>
        <w:tc>
          <w:tcPr>
            <w:tcW w:type="pct" w:w="6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Loss Utilized ≤ Tax Loss Carryforward</w:t>
            </w:r>
          </w:p>
        </w:tc>
      </w:tr>
      <w:tr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26</w:t>
            </w:r>
          </w:p>
        </w:tc>
        <w:tc>
          <w:tcPr>
            <w:tcW w:type="pct" w:w="2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Taxable Income</w:t>
            </w:r>
          </w:p>
        </w:tc>
        <w:tc>
          <w:tcPr>
            <w:tcW w:type="pct" w:w="6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MAX(0, EBT − Loss Utilized) — Law 91/2005</w:t>
            </w:r>
          </w:p>
        </w:tc>
      </w:tr>
      <w:tr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27</w:t>
            </w:r>
          </w:p>
        </w:tc>
        <w:tc>
          <w:tcPr>
            <w:tcW w:type="pct" w:w="2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 Dividends Tie</w:t>
            </w:r>
          </w:p>
        </w:tc>
        <w:tc>
          <w:tcPr>
            <w:tcW w:type="pct" w:w="6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 Dividends Paid = IS Gross Dividends (sign-adjusted)</w:t>
            </w:r>
          </w:p>
        </w:tc>
      </w:tr>
      <w:tr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28</w:t>
            </w:r>
          </w:p>
        </w:tc>
        <w:tc>
          <w:tcPr>
            <w:tcW w:type="pct" w:w="2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 Dividend WHT Tie</w:t>
            </w:r>
          </w:p>
        </w:tc>
        <w:tc>
          <w:tcPr>
            <w:tcW w:type="pct" w:w="6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 Dividend WHT = IS Dividend WHT (sign-adjusted)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4.5 Integrator (integrator.ts) — Master Orchestrator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runFullModel(assumptions, historicalInputs) is the top-level function that runs the entire model: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1: Build historical Income Statements from raw data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2: Build historical Balance Sheets from raw data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3: Build historical Cash Flows from IS/BS period-over-period changes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4: For each projection year (0 to projectionYears-1):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Get previous period IS and BS (historical for yr=0, prior projected otherwise)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Call resolveCircularReferences() for this year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Call validateIntegration() and store results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Track convergence statistics (total iterations, max delta)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5: Combine historical + projected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6: Calculate financial ratios for all periods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7: Return ModelResults { IS[], BS[], CF[], Ratios[], IntegrationChecks[], ConvergenceInfo }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getModelSummary(results) extracts key metrics: revenue, EBITDA, NI, EPS, FCF, total debt, cash, average growth, average margin, and convergence status.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4.6 DCF Valuation Engine (dcf.ts)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Calculates intrinsic value using Discounted Cash Flow with WACC derived from CAPM and Egyptian market inputs.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calculateWACC(assumptions, results)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Cost of Equity (CAPM): ke = riskFreeRate + β × Equity_Risk_Premium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Default: 0.20 + 1.0 × 0.105 = 30.5%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riskFreeRate is decoupled from cbeRate (separate input)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Cost of Debt (after-tax): kd = interestRateOnDebt × (1 − taxRate)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Capital Structure: D/(D+E) and E/(D+E) from last projected BS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WACC = E/(D+E) × ke + D/(D+E) × kd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Sanity Checks: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- WACC &gt; 0 (non-positive is invalid)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- WACC &lt; 50% (flag if unusually high)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- Cost of Equity &gt; Cost of Debt (else unusual risk pricing)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- Debt weight &lt; 90% (extreme leverage warning)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- Cost of Equity &lt; 60% (check ERP/beta)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calculateDCF(assumptions, results)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1. Extract projected FCFF from Income Statement memo field (is.fcff)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FCFF = NOPAT + D&amp;A − CapEx − ΔNWC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2. Discount each FCF: PV(FCF_i) = FCF_i / (1 + WACC)^i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3. Terminal Value (Gordon Growth): TV = FCF_n × (1+g) / (WACC − g)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where g = terminalGrowthRate (default 7% for Egypt)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Sanity check: g must be &lt; WACC (else TV is undefined)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4. PV(TV) = TV / (1 + WACC)^n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5. Enterprise Value = Sum(PV of FCFs) + PV(TV)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Warning if TV &gt; 85% of EV (consider extending projections)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6. Equity Bridge: Equity Value = EV − Net Debt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Net Debt = (ST Debt + LT Debt + Current LTD) − Cash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7. Implied Share Price = Equity Value / Shares Outstanding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Warning if negative (entity may be insolvent)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Returns DCFValuation with 13 fields: fcfProjections, discountedFCFs, terminalValue, pvTerminalValue, enterpriseValue, netDebt, equityValue, impliedSharePrice, wacc, costOfEquity, costOfDebt, debtWeight, equityWeight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4.7 Valuation Multiples Engine (valuation.ts)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calculateMultiples(results, assumptions)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Calculates trading multiples from engine results + optional share price. Returns null values if sharePrice is not provided.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Multiple</w:t>
            </w:r>
          </w:p>
        </w:tc>
        <w:tc>
          <w:tcPr>
            <w:tcW w:type="pct" w:w="7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Formula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P/E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Share Price / EPS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EV/EBITDA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(Market Cap + Net Debt) / EBITDA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Price/Book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Share Price / (Total Equity / Shares)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FCF Yield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FCF / Market Cap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Dividend Yield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DPS / Share Price</w:t>
            </w:r>
          </w:p>
        </w:tc>
      </w:tr>
    </w:tbl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calculateImpliedPrices(results, benchmarks)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Calculates implied share prices from EGX 30 benchmarks: fromPE (avg P/E × EPS), fromEVEBITDA (avg EV/EBITDA × EBITDA → equity → per share), fromPB (avg P/B × BVPS).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EGX 30 Benchmarks (Q1 2026)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Multiple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Low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High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Average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P/E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10x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EV/EBITDA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6x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9x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7.5x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Price/Book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1.0x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2.5x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1.6x</w:t>
            </w:r>
          </w:p>
        </w:tc>
      </w:tr>
    </w:tbl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Sector Working Capital Presets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DSO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DIO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DPO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Technology / Software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Manufacturing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Retail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Government Contractor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Export-Oriented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Real Estate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180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5. Egyptian Profit Appropriation Waterfall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This waterfall is the legally mandated sequence under Egyptian Companies Law 159/1981 and Labor Law. The order is significant — each deduction is based on the result of the previous one.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engine implements the full waterfall in income-statement.ts → calculateIncomeStatement():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Step 1: NET INCOME (Already computed: Revenue → COGS → OpEx → EBT → Tax → NI)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Step 2: LEGAL RESERVE (Companies Law Art. 40)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LR Addition = min(NI × 5%, max(0, paidUpCapital × 50% − cumLR))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Stops once cumulative LR reaches 50% of ISSUED (paid-up) capital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Zero when NI ≤ 0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Step 3: EMPLOYEE PROFIT DISTRIBUTION (Labor Law Art. 41)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EPD = max(0, NI × 10%)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Capped at totalAnnualPayroll (if provided, 0 = no cap)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Note: Both EPD and LR are computed INDEPENDENTLY on NI — neither is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deducted before computing the other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Step 4: NI After EPD = Net Income − Employee Profit Sharing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Step 5: DISTRIBUTABLE PROFIT = NI − EPD − Legal Reserve Addition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Step 6: GROSS DIVIDENDS = max(0, Distributable Profit × payoutRatio)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IMP: Blocked if distributableProfit ≤ 0 or prior RE &lt; 0 (Art. 53)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Step 7: DIVIDEND WHT (Law 30/2023, Art. 56 bis)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WHT = Gross Dividends × 5%  (if EGX-listed)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WHT = Gross Dividends × 10% (if unlisted)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Step 8: NET DIVIDENDS = Gross Dividends − WHT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Step 9: ADDITION TO RE = Distributable Profit − Gross Dividends</w:t>
      </w:r>
    </w:p>
    <w:p>
      <w:pPr>
        <w:spacing w:after="40"/>
      </w:pP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5.1 Tax Loss Carryforward (Tax Law Art. 29)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engine implements vintage-tracked FIFO tax loss carryforward: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Tax losses from years with negative EBT are stored as TaxLossVintage objects ({year, amount, expiresAfterYear})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Each loss vintage expires after 5 years (configurable via taxLossCarryforwardYears)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 profitable years, oldest losses are utilized first (FIFO): taxableIncome = MAX(0, EBT − lossUtilized)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Tax = taxableIncome × taxRate (so no tax on profit offset by prior-year losses)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Fully vintage-tracked: each loss year is tracked separately with its own expiry</w:t>
      </w:r>
    </w:p>
    <w:p>
      <w:pPr>
        <w:spacing w:after="40"/>
      </w:pP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5.2 Tax Regime Support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Regime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Rate</w:t>
            </w:r>
          </w:p>
        </w:tc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Legal Basis</w:t>
            </w:r>
          </w:p>
        </w:tc>
      </w:tr>
      <w:tr>
        <w:tc>
          <w:tcPr>
            <w:tcW w:type="pct" w:w="4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Standard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22.5%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Law 91/2005 — most companies</w:t>
            </w:r>
          </w:p>
        </w:tc>
      </w:tr>
      <w:tr>
        <w:tc>
          <w:tcPr>
            <w:tcW w:type="pct" w:w="4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Oil Exploration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40.55%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Special regime for oil companies</w:t>
            </w:r>
          </w:p>
        </w:tc>
      </w:tr>
      <w:tr>
        <w:tc>
          <w:tcPr>
            <w:tcW w:type="pct" w:w="4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Strategic Entities / CBE / Suez Canal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40.0%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Special regime</w:t>
            </w:r>
          </w:p>
        </w:tc>
      </w:tr>
      <w:tr>
        <w:tc>
          <w:tcPr>
            <w:tcW w:type="pct" w:w="4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SME Turnover Tax (≤1M)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0.40% of Revenue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Law 6/2025</w:t>
            </w:r>
          </w:p>
        </w:tc>
      </w:tr>
      <w:tr>
        <w:tc>
          <w:tcPr>
            <w:tcW w:type="pct" w:w="4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SME Turnover Tax (1-2M)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0.75% of Revenue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Law 6/2025</w:t>
            </w:r>
          </w:p>
        </w:tc>
      </w:tr>
      <w:tr>
        <w:tc>
          <w:tcPr>
            <w:tcW w:type="pct" w:w="4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SME Turnover Tax (2-3M)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1.00% of Revenue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Law 6/2025</w:t>
            </w:r>
          </w:p>
        </w:tc>
      </w:tr>
      <w:tr>
        <w:tc>
          <w:tcPr>
            <w:tcW w:type="pct" w:w="4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SME Turnover Tax (3-20M)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1.50% of Revenue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Law 6/2025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Runtime safeguard: if taxRate appears suspiciously low (&lt;10%), the engine clamps it to 22.5% to prevent data entry errors.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6. Financial Ratios (ratios.ts)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calculateFinancialRatios(is, bs, prevBS) and enrichRatios() compute 35+ ratios: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pct" w:w="4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Ratios</w:t>
            </w:r>
          </w:p>
        </w:tc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Profitability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Margin, Operating Margin, Net Margin, ROE, ROA, ROIC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ROE/ROA use average balances; ROIC = NOPAT / avg invested capital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Liquidity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Ratio, Quick Ratio, Cash Ratio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Standard formulas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Leverage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Debt-to-Equity, Debt-to-Assets, Interest Coverage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Debt = ST + LT + Current LTD; Coverage = EBIT/IntExp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Efficiency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 Turnover, Inventory Turnover, Receivables Turnover, DSO, DIO, DPO, CCC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CCC = DSO + DIO − DPO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DuPont (3-Factor)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Margin × Asset Turnover × Equity Multiplier = ROE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Classic DuPont decomposition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DuPont (5-Factor)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Burden × Interest Burden × Operating Margin × Asset Turnover × Equity Multiplier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Extended DuPont with tax/interest isolation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Altman Z-Score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Z-prime model (private companies)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safe &gt; 2.9, grey 1.23–2.9, distress &lt; 1.23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Altman Z-Score EM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6.56×X1 + 3.26×X2 + 6.72×X3 + 1.05×X4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Emerging Markets model (Altman 2005): safe &gt; 2.60, grey 1.10–2.60, distress &lt; 1.10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Break-Even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Break-Even Revenue = Fixed Costs / Contribution Margin Ratio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Margin of Safety = (Revenue − BER) / Revenue</w:t>
            </w:r>
          </w:p>
        </w:tc>
      </w:tr>
    </w:tbl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7. Analysis Tools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6.1 Sensitivity Analysis (sensitivity.ts)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oneWaySensitivity(baseAssumptions, historicalInputs, variable, range, outputMetric) — Varies one assumption across a range of values, runs the full model for each, and returns the output metric values. Supports array assumptions (applies sampled value uniformly).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twoWaySensitivity(..., variable1, range1, variable2, range2, outputMetric) — Varies two assumptions simultaneously, produces an NxN matrix of output values.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generateRange(baseValue, steps, stepSize) — Generates a centered range: base ± steps × stepSize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Output metrics supported: revenue, ebitda, netIncome, eps, fcf, roe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6.2 Monte Carlo Simulation (monte-carlo.ts)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4 distribution types: Normal (Box-Muller transform), Uniform, Triangular, Lognormal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runMonteCarloSimulation() — Runs N iterations (default 10,000), sampling from configured distributions, perturbing assumptions, and capturing all output metrics. Failed iterations (convergence failures) are silently skipped.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Statistics computed: mean, median, standard deviation, p10, p25, p50, p75, p90, min, max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Default config: revenue growth rate (normal μ=7%, σ=3%), COGS% (normal μ=60%, σ=3%), interest rate (uniform 3%-8%). Output metrics: netIncome, fcf, eps.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6.3 Scenario Manager (scenario-manager.ts)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3 pre-defined scenarios: Base Case (moderate growth, stable margins), Optimistic (high growth, margin expansion), Conservative (slow growth, margin pressure)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CRUD operations: createScenario(), duplicateScenario(), updateScenarioAssumption() (supports nested paths like revenueGrowthRate[0]), deleteScenario()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compareScenarios() — Returns side-by-side comparison for all calculated scenarios: revenue, EBITDA, NI, EPS, FCF, total debt, cash, ROE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8. State Management (store.ts) — 28 KB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Zustand store (v5) with localStorage persistence via zustand/middleware/persist. 20+ actions with GLOBAL_KEYS sync: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State Field</w:t>
            </w:r>
          </w:p>
        </w:tc>
        <w:tc>
          <w:tcPr>
            <w:tcW w:type="pct" w:w="6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companyName, ticker, industry, currency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 metadata fields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country, fiscalYearEnd, valuationDate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Localization and dating fields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historicalInputs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Array-format historical data (engine format)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historicalData[]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Per-year historical data objects (UI format)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scenarios[]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All scenarios with their assumption sets and results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activeScenarioId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Currently selected scenario UUID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activeTab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navigation tab (19 possible values)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isDarkMode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Dark mode toggle state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undoStack[] / redoStack[]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 change history for undo/redo (50-entry cap)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errors[] / warnings[]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validation messages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calculationError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Error message from last failed calculation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cellOverrides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Manual cell value overrides keyed by scenarioId_rowKey_period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dataVersion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Incremented on each recalculation for change detection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conflictDetected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Multi-tab localStorage conflict flag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sidebarOpen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Sidebar collapsed/expanded state</w:t>
            </w:r>
          </w:p>
        </w:tc>
      </w:tr>
    </w:tbl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6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setCompanyInfo()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Update company metadata (name, ticker, currency, country, fiscal year, valuation date)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setHistoricalData(data)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 per-year data → auto-convert to engine format → recalculate all scenarios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updateAssumption(path, value)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Update any assumption; handles array indexing like revenueGrowthRate[0]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addScenario() / deleteScenario()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Create or remove scenarios (min 1 scenario enforced)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duplicateScenario(id, name)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Clone an existing scenario with a new name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calculateModel()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Runs runFullModel() for active scenario; captures warnings (&gt;95% margin, &lt;-50% NI)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calculateAllScenarios()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Syncs GLOBAL_KEYS from Base Case → all scenarios, then runs model for each independently (failures don't block others)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undo() / redo()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Assumption-level undo/redo → auto-recalculates after restore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resetToDefaults()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state reset to demo company data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setCountryPreset(preset)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Applies US / Egyptian / Custom tax, VAT, CBE rates, depreciation, fiscal year to ALL scenarios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setCellOverride()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Manual cell value override for specific scenario/row/period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dismissConflict()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Dismiss multi-tab conflict notification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toggleDarkMode() / setSidebarOpen()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UI toggle actions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8.1 GLOBAL_KEYS Sync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calculateAllScenarios() syncs these keys from Base Case to all other scenarios before computing: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taxRate, taxRegime, vatRate, enableVAT, dividendWithholdingRate,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dividendWithholdingTaxRate, isEGXListed, useEgyptianRates, countryPreset,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fiscalYearPreset, fiscalYearEnd, projectionYears, historicalYears,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cbeRate, riskFreeRate, legacyDebtRate, employeeProfitSharingRate,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enableEmployeeProfitShare, enableTaxLossCarryforward, taxLossCarryforwardYears,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enableLegalReserve, legalReservePercent, paidUpCapital, legalReserveCap,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depreciationMethod, enableEndOfServiceBenefit,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interestRateOnDebt, interestRateOnCash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8.2 Persistence &amp; Migration (v4)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Persisted fields (via partialize): companyName, ticker, industry, currency, country, fiscalYearEnd, valuationDate, historicalData, historicalInputs, scenarios, activeScenarioId, isDarkMode.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v4 migration handles: scalar→array interest rate conversion, CBE rate defaults, tax regime sync (forces correct rate per regime), interest rate floor resets (US→Egypt), startYear 2025→2026, historical years 2023/2024→2024/2025.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9. Export Layer (lib/export/)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9.1 Excel Export (excel.ts + 4 sub-modules) — 4,200+ lines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Generates a 9-tab Excel workbook where every single calculation cell contains a LIVE FORMULA — no hard-coded computed values.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 Name</w:t>
            </w:r>
          </w:p>
        </w:tc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Builder Module</w:t>
            </w:r>
          </w:p>
        </w:tc>
        <w:tc>
          <w:tcPr>
            <w:tcW w:type="pct" w:w="56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Content Description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 Info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build-company-info.ts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 sections: company ID, model config, Egypt regulatory/tax, report/preparer info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Summary Dashboard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build-dashboard.ts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 switcher dropdown with IF()-formula metric rows that change dynamically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build-scenarios.ts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 side-by-side scenario blocks (Base / Optimistic / Conservative) with 40+ assumption rows each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Assumptions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40+ assumption rows — the editable inputs that drive all formula tabs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Income Statement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Revenue → EPS waterfall with formulas referencing Assumptions tab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 Sheet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A = L + E with Cash as a plug formula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Flow Statement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Indirect method CF with formulas referencing IS and BS tabs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Ratios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Profitability, Liquidity, Leverage, Efficiency — all formula-driven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_Calc_Base/Opt/Con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build-calc-sheets.ts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 hidden sheets with IS/BS/CF formula replicas per scenario (90 rows each)</w:t>
            </w:r>
          </w:p>
        </w:tc>
      </w:tr>
    </w:tbl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Export Sub-Modules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build-company-info.ts (131 lines) — Company metadata, regulatory defaults, color-coded editable vs auto-computed cells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build-scenarios.ts (471 lines) — Builds all assumption arrays per scenario; maps ROW_SPECS keys for cross-sheet references; includes ROIC, ICR, EBITDA Margin in Dashboard output metrics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build-calc-sheets.ts (835 lines) — Creates hidden formula sheets (_Calc_Base, _Calc_Opt, _Calc_Con) with 105-row IS/BS/CF replicas including Distributable Profit, Cumulative Legal Reserve, NOPAT, FCFF, EPD Paid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build-dashboard.ts (397 lines) — Scenario comparison with IF() formulas; includes Revenue, EBITDA, NI, EPS, CFO, FCF, Total Equity, ROIC, ICR, EBITDA Margin, ROE, ROA, Current Ratio, D/E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Key Excel Architecture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Historical vs Projected visual styling — historical columns have blue tint, vertical separator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Back-computed assumptions — historical DSO, DIO, DPO are reverse-calculated from actual BS/IS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Cash plug formula: Cash = Total L+E − AR − Inventory − Prepaid − OCA − Total NCA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Balance check row: IF(ABS(TotalAssets − TotalL&amp;E) &lt; 1, "✓ Balanced", "✗ Imbalanced")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CF reconciliation: IF(ABS(EndingCash − BS.Cash) &lt; 0.01, "✓ Reconciles", "✗ Error")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Zebra-striping and negative-value red formatting applied automatically via applyZebraAndNegatives()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9.2 PDF Export (pdf.ts) — 49 KB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Multi-page professional report with cover page (company name, ticker, industry, generation date)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Income Statement, Balance Sheet, Cash Flow tables rendered via jsPDF AutoTable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Ratio analysis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Supports Egyptian locale with bilingual headers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9.3 CSV / JSON Export (csv-json.ts)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Plain data export in CSV and JSON formats for integration with external tools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Includes all statement data in structured format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10. Internationalization &amp; Egyptian Localization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10.1 Bilingual Labels (i18n/labels.ts)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80+ financial line items with English/Arabic label pairs covering Income Statement, Balance Sheet, Cash Flow, Ratios, and Egyptian-specific terms: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revenue:            { en: 'Revenue',              ar: 'الإيرادات'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accountsReceivable: { en: 'Accounts Receivable',  ar: 'المدينون'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netIncome:          { en: 'Net Income',            ar: 'صافي الربح'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vatRate:            { en: 'VAT Rate',              ar: 'معدل ضريبة القيمة المضافة'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corporateTaxRate:   { en: 'Corporate Tax Rate',    ar: 'معدل الضريبة على الشركات' }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getLabel(key, language) function retrieves the appropriate label with English fallback.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10.2 Egyptian Depreciation Schedules (Law 91/2005, Art. 25-26)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Egyptian Tax Law prescribes EXACT depreciation rates per asset class using the declining-balance method on Net Book Value. These are fixed by law — NOT ranges: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Asset Class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Arabic Name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Rate (Fixed by Law)</w:t>
            </w:r>
          </w:p>
        </w:tc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Buildings &amp; Structures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مباني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5%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Declining Balance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Machinery &amp; Equipment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آلات ومعدات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25%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Declining Balance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Vehicles &amp; Transport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سيارات ووسائل نقل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25%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Declining Balance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Computers &amp; IT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أجهزة حاسب آلي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50%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Declining Balance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Furniture &amp; Fixtures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أثاث وتجهيزات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20%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Declining Balance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engine supports 3 depreciation methods: straight-line (average Gross PPE × rate), declining-balance (Net Book Value × rate), and egyptian-tax (declining-balance with legal asset-class rates and configurable asset mix).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calculateEgyptianBlendedRate(breakdown) computes a weighted-average depreciation rate from the asset-class mix.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Egyptian defaults: Corporate tax 22.5%, VAT 14%, Dividend withholding 10%.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Fiscal year presets: Calendar (January-December), Egyptian Government (July-June), Custom.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10.3 Egyptian Industry Templates (templates/egyptian-industries.ts)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5 pre-configured sector templates with bilingual names and typical assumption profiles: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pct" w:w="14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Arabic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Growth</w:t>
            </w:r>
          </w:p>
        </w:tc>
        <w:tc>
          <w:tcPr>
            <w:tcW w:type="pct" w:w="6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GM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SG&amp;A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DSO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DIO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DPO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CapEx%</w:t>
            </w:r>
          </w:p>
        </w:tc>
      </w:tr>
      <w:tr>
        <w:tc>
          <w:tcPr>
            <w:tcW w:type="pct" w:w="1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Real Estate &amp; Construction</w:t>
            </w:r>
          </w:p>
        </w:tc>
        <w:tc>
          <w:tcPr>
            <w:tcW w:type="pct" w:w="1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العقارات والبناء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15%</w:t>
            </w:r>
          </w:p>
        </w:tc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35%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90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3%</w:t>
            </w:r>
          </w:p>
        </w:tc>
      </w:tr>
      <w:tr>
        <w:tc>
          <w:tcPr>
            <w:tcW w:type="pct" w:w="1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FMCG / Consumer Goods</w:t>
            </w:r>
          </w:p>
        </w:tc>
        <w:tc>
          <w:tcPr>
            <w:tcW w:type="pct" w:w="1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سلع استهلاكية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12%</w:t>
            </w:r>
          </w:p>
        </w:tc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30%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12%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40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5%</w:t>
            </w:r>
          </w:p>
        </w:tc>
      </w:tr>
      <w:tr>
        <w:tc>
          <w:tcPr>
            <w:tcW w:type="pct" w:w="1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Telecom &amp; Technology</w:t>
            </w:r>
          </w:p>
        </w:tc>
        <w:tc>
          <w:tcPr>
            <w:tcW w:type="pct" w:w="1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اتصالات وتكنولوجيا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10%</w:t>
            </w:r>
          </w:p>
        </w:tc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55%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50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15%</w:t>
            </w:r>
          </w:p>
        </w:tc>
      </w:tr>
      <w:tr>
        <w:tc>
          <w:tcPr>
            <w:tcW w:type="pct" w:w="1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Petrochemicals &amp; Energy</w:t>
            </w:r>
          </w:p>
        </w:tc>
        <w:tc>
          <w:tcPr>
            <w:tcW w:type="pct" w:w="1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بتروكيماويات وطاقة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8%</w:t>
            </w:r>
          </w:p>
        </w:tc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25%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6%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8%</w:t>
            </w:r>
          </w:p>
        </w:tc>
      </w:tr>
      <w:tr>
        <w:tc>
          <w:tcPr>
            <w:tcW w:type="pct" w:w="1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Tourism &amp; Hospitality</w:t>
            </w:r>
          </w:p>
        </w:tc>
        <w:tc>
          <w:tcPr>
            <w:tcW w:type="pct" w:w="1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سياحة وضيافة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18%</w:t>
            </w:r>
          </w:p>
        </w:tc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20%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6%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Each template also includes a sector-specific asset-class mix (buildings/machinery/vehicles/computers/furniture) for Egyptian depreciation calculations. Use getTemplate(id) to retrieve.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11. Utility Functions (utils.ts)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Function</w:t>
            </w:r>
          </w:p>
        </w:tc>
        <w:tc>
          <w:tcPr>
            <w:tcW w:type="pct" w:w="6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formatCurrency(value, currency, compact)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Multi-currency formatting. ALWAYS uses en-US locale to ensure English numerals (0-9), never Arabic (٠-٩). Supports compact mode ($1.2M, $340K).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formatPercent(value, decimals)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Percentage formatting (e.g., "15.2%")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formatNumber(value, decimals)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Number formatting with en-US locale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formatEPS(value, currency)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EPS formatted with appropriate currency symbol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colorForValue(value)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Returns CSS color: green (&gt;0), red (&lt;0), or neutral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cn(...classes)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CSS class name joiner (filters falsy values)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Supported currencies: USD ($), EGP (E£), EUR (€), GBP (£), SAR (SR), AED (AED).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12. UI Components (27 total)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12.1 Core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Sidebar.tsx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~400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Navigation (19 tabs), Calculate button, Export buttons (Excel/PDF/CSV/JSON), dark mode toggle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Dashboard.tsx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~500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KPI cards (Revenue, EBITDA, NI, EPS, FCF), Scenario comparison table with delta vs base case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~250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Assumptions editor — all 60+ fields organized in collapsible sections by category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ValidationPage.tsx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~280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Displays 80+ integration checks (16 checks × projection years) with pass/fail indicators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12.2 Financial Statement Views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IncomeStatementPage.tsx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~230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IS table with historical columns (blue tint) and projected columns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BalanceSheetPage.tsx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~250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Assets, Liabilities, Equity sections with balance check indicator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CashFlowPage.tsx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~250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CFO/CFI/CFF sections with reconciliation indicator at bottom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RatiosPage.tsx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151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Financial ratios dashboard with color-coded thresholds (good/bad indicators)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12.3 Supporting Schedules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WorkingCapitalPage.tsx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~380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DSO/DIO/DPO metrics, NWC build, NWC as % of Revenue analysis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DepreciationPage.tsx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~290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PP&amp;E rollforward, Egyptian asset-class mix sliders for blended rate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DebtSchedulePage.tsx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~320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issuance/repayment timeline, beginning/ending balances, interest calc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12.4 Valuation &amp; Analysis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215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 valuation: WACC breakdown, FCF discounting table, terminal value, equity bridge, implied share price, WACC sensitivity matrix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ValuationPage.tsx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187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Trading multiples (P/E, EV/EBITDA, P/B, FCF Yield, Dividend Yield), EGX 30 benchmark comparison bar chart, implied share prices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CBEMetricsPage.tsx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219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Central Bank of Egypt regulatory metrics: Debt/EBITDA, Interest Coverage, Debt Service Coverage, Current Ratio, Net Debt/Equity with CBE threshold pass/fail indicators (policy rate 27.25%)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SensitivityPage.tsx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~210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Tornado chart visualization + data table with one-way sensitivity results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MonteCarloPage.tsx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~330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Histogram visualization + comprehensive percentile statistics panel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12.5 Scenario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~200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 list with create / duplicate / delete actions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ScenarioSelector.tsx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~200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Quick scenario switcher component (shown on statement/schedule tabs)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ScenarioComparisonModal.tsx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~420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side-by-side scenario comparison modal with all key metrics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12.6 Settings &amp; Data Entry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CompanySettings.tsx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~115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 name, ticker, industry, currency, country, fiscal year editor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EgyptianSettings.tsx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~310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VAT toggle, tax rates, fiscal year preset, asset-class depreciation mix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HistoricalImportPage.tsx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~430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CSV file import with automatic column mapping and preview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HistoricalDataInput.tsx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~350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Per-year historical data input form with balance validation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12.7 Charts &amp; System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RevenueChart.tsx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~85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bar chart built with Recharts, shows historical + projected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MarginChart.tsx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~55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Gross/Operating/Net margin line chart with period labels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ErrorBanner.tsx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Auto-dismissing (10s) error alert banner with Retry button, shown when calculateModel() throws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ConflictModal.tsx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76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Multi-tab conflict detection modal — Keep Mine / Load Latest / Dismiss options when localStorage is modified by another tab</w:t>
            </w:r>
          </w:p>
        </w:tc>
      </w:tr>
    </w:tbl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13. Navigation &amp; Tab System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app uses a 19-tab system controlled by the Zustand store's activeTab field: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dashboard → income → balance → cashflow → ratios → model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working-capital → depreciation → debt-schedule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dcf → valuation → cbe-metrics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scenarios → sensitivity → montecarlo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import → historicaldata → validation → company-settings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Each tab is rendered as a separate component in page.tsx based on the activeTab value. The Sidebar component provides navigation buttons with icons for each section.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Keyboard shortcuts: Ctrl+S → Calculate All Scenarios, Ctrl+Z → Undo, Ctrl+Shift+Z → Redo.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ScenarioSelector dropdown appears on: dashboard, income, balance, cashflow, working-capital, depreciation, debt-schedule tabs.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14. Data Flow Architecture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system follows a clear input → engine → output pipeline: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Input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Historical Data (2-3 years of actual financial data, entered manually or via CSV import)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Assumptions (60+ configurable parameters for projections)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 Selection (Base / Optimistic / Conservative / Custom)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All state managed centrally in the Zustand store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Engine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integrator.runFullModel() orchestrates the entire calculation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Builds historical IS/BS/CF from raw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For each projection year: runs resolveCircularReferences() (up to 100 iterations per year)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Each iteration: IS → BS (cash=plug) → CF → check interest convergence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Validates integration with 16 cross-statement checks per year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Combines all periods and calculates 23 financial ratios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Output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UI Components — Dashboard, statement views, schedule pages, analysis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Excel Export — 9-tab workbook with 100% live formulas (no hard-coded values)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PDF Export — Multi-page professional report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CSV/JSON Export — Raw data for external tools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Analysis &amp; Valuation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Sensitivity Analysis — One-way and two-way parameter sweeps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Monte Carlo Simulation — 10,000 iterations with configurable distributions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 Comparison — Side-by-side metric comparison across all scenarios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DCF Valuation — WACC (CAPM) → discounted FCFs → terminal value → implied share price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Trading Multiples — P/E, EV/EBITDA, P/B, FCF Yield, Dividend Yield vs EGX 30 benchmarks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CBE Regulatory Metrics — Debt/EBITDA, Interest Coverage, DSCR, Current Ratio, Net Debt/Equity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15. AI Validation Agent (lib/agents/)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A two-phase validation system: Phase 1 runs 19 deterministic rules (free, instant). Phase 2 optionally calls Claude API for deeper AI-powered analysis.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15.1 Architecture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FinancialValidationAgent class (validation-agent.ts) orchestrates validation with a configurable pipeline: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Phase 1 (Local): runAllLocalChecks() executes 19 deterministic validation rules instantly and for free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Phase 2 (AI): If local checks fail AND config.runAIChecks is true, sends model data to Claude API via /api/validate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Results are merged and deduplicated by rule+period+scenario+field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Reports include: criticalErrors[], majorWarnings[], advisoryNotes[], statistics, egyptianLawCompliance</w:t>
      </w:r>
    </w:p>
    <w:p>
      <w:pPr>
        <w:spacing w:after="40"/>
      </w:pP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15.2 Validation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Config Option</w:t>
            </w:r>
          </w:p>
        </w:tc>
        <w:tc>
          <w:tcPr>
            <w:tcW w:type="pct" w:w="1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pct" w:w="5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blockExportOnCritical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true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Prevent Excel/PDF export if critical errors exist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runLocalChecksFirst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true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Always run free deterministic checks first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runAIChecks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true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Enable Claude API deep analysis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onlyRunAIIfLocalFails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true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Skip AI when local checks pass (saves cost)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[base, optimistic, conservative]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Which scenarios to validate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tolerance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0.01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Monetary comparison tolerance</w:t>
            </w:r>
          </w:p>
        </w:tc>
      </w:tr>
    </w:tbl>
    <w:p>
      <w:pPr>
        <w:spacing w:after="40"/>
      </w:pP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15.3 Deterministic Validation Rules (19 Rules)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rules are organized in 3 tiers of severity: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Tier 1 — Critical (9 rules)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pct" w:w="64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Check Formula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 Sheet Balance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abs(totalAssets − totalL&amp;E) &lt; 0.01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 Ending Cash = BS Cash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abs(cf.endingCash − bs.cash) &lt; 0.01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Chain Integrity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revenue_t = revenue_{t-1} × (1 + growthRate_t)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Income Math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NI = EBT − Tax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6-11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Egyptian Profit Appropriation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EPD, LR, Distributable, Dividends, WHT, Addition to RE (6 sub-rules)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 Roll Forward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RE_t = RE_{t-1} + additionToRE_t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13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Calculation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= max(0, EBT × taxRate)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 Net Change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netChange = CFO + CFI + CFF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Ending Cash Identity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endingCash = beginningCash + netChange</w:t>
            </w:r>
          </w:p>
        </w:tc>
      </w:tr>
    </w:tbl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Tier 2 — Major (5 rules)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pct" w:w="64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Check Formula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17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NOPAT Formula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NOPAT = EBIT × (1 − taxRate)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20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EBITDA Consistency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EBITDA = EBIT + D + A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26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ROIC Formula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ROIC = NOPAT / (Equity + Total Debt)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27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ROE Formula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ROE = NI / Total Equity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28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ROA Formula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ROA = NI / Total Assets</w:t>
            </w:r>
          </w:p>
        </w:tc>
      </w:tr>
    </w:tbl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Tier 3 — Advisory (5 rules)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pct" w:w="64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Check Formula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31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EPD Zero in Loss Years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EPD must be 0 when NI ≤ 0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32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LR Zero in Loss Years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Legal Reserve must be 0 when NI ≤ 0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33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Legal Reserve Cap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Cumulative LR ≤ paidUpCapital × 50%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37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Growth Deceleration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growth should not accelerate in later years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38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FCF Inflection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Negative FCF flagged as cash drain risk</w:t>
            </w:r>
          </w:p>
        </w:tc>
      </w:tr>
    </w:tbl>
    <w:p>
      <w:pPr>
        <w:spacing w:after="40"/>
      </w:pP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15.4 Egyptian Law Compliance Report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validation report includes a dedicated egyptianLawCompliance section: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pct" w:w="7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epdCompliant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 EPD calculation errors (Rule 6)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legalReserveCompliant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Legal Reserve follows Art. 40 (Rule 7)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dividendBaseCompliant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Dividends based on Distributable Profit, not NI (Rule 9)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whtCompliant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WHT correctly applied at 5% (EGX) or 10% (unlisted) (Rule 10)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overallCompliant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 failures in Rules 6-11</w:t>
            </w:r>
          </w:p>
        </w:tc>
      </w:tr>
    </w:tbl>
    <w:p>
      <w:pPr>
        <w:spacing w:after="40"/>
      </w:pP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15.5 Multi-Scenario Validation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multi-scenario-validator.ts module runs validation across Base, Optimistic, and Conservative scenarios simultaneously, merging all findings into a unified report. This is critical for catching edge cases that only appear in conservative scenarios (e.g., negative profits triggering dividend calculation errors).</w:t>
      </w:r>
    </w:p>
    <w:p>
      <w:pPr>
        <w:spacing w:after="40"/>
      </w:pP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15.6 ValidationPage UI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ValidationPage.tsx component (18 KB) displays: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Pass/fail badge on the Dashboard (green shield ✓ or red shield ✗)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Full audit report with findings grouped by severity (Critical → Major → Advisory)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Egyptian Law Compliance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Statistics summary: periods audited, scenarios audited, total checks, pass/fail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AI-powered analysis results (when enabled)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16. Key Design Decisions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1. Cash as Plug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Cash is the balancing item on the balance sheet: Cash = Total L+E − all other assets. This guarantees A = L+E always holds, which is critical for the iterative solver to work correctly.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2. Iterative Circular Resolution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fundamental circular dependency (Interest → Net Income → Cash → CF → Interest) is resolved via iteration. The solver runs up to 100 rounds with a tolerance of 0.01 for interest values. This approach is simpler and more robust than algebraic solutions.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3. Revenue Chain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Revenue ALWAYS chains from previousRevenue × (1 + growthRate). There is no separate base for projections — the first projected year grows from the last historical revenue. This ensures consistency across the IS.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4. Average Balances for Interest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Interest expense = average(beginning, ending) total debt × interest rate. Interest income = average(beginning, ending) cash × interest income rate. This is standard financial modeling practice.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5. Back-Computed Historical Assumptions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For the Excel export, historical-period DSO, DIO, DPO, and other metrics are reverse-calculated from actual data. This allows every cell in the Excel to have a formula, even for historical periods.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6. Egyptian Localization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Full support for the Egyptian market: 22.5% corporate tax rate, 14% VAT, 5 asset-class depreciation with legal rate ranges, bilingual English/Arabic labels, and Egyptian government fiscal year (July-June) support.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7. Zustand + localStorage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State persists across browser refreshes via the zustand/middleware/persist module. Only essential fields are persisted (via partialize), while computed results and UI state are excluded.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17. Known Limitations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pct" w:w="53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Workaround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Circular References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Iterative solver may not converge with extreme assumptions (200%+ debt ratios)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 realistic assumption ranges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Interest Calculation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Uses beginning-of-period debt (flat rate × beginning balance) — no mid-period debt changes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Acceptable for most modeling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Balancing Plug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is used as the plug when BS doesn't balance exactly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Check balanceDifference field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Goodwill &amp; Intangibles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Static from assumptions — no impairment testing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Manually update assumptions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DSO/DIO/DPO-driven — no seasonal or cyclical variation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N/A for annual models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Structure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Constant debt levels unless assumption overrides used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 scenario manager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Performance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Monte Carlo with 10,000+ iterations can freeze UI for 5-15s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Reduce iteration count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PDF Export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Landscape A4 — may truncate columns with 8+ projected years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 Excel export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Browser Storage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 state persisted in localStorage — limited to ~5MB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Export to JSON regularly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Single Currency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 foreign exchange conversion or multi-currency balance sheets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Future enhancement planned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Undo/Redo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Only tracks assumption changes, not scenario additions/deletions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N/A</w:t>
            </w:r>
          </w:p>
        </w:tc>
      </w:tr>
    </w:tbl>
    <w:p>
      <w:pPr>
        <w:spacing w:after="40"/>
      </w:pP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Planned Improvements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Web Worker for Monte Carlo (non-blocking UI)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Tax loss carryforward logic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Debt covenants and revolving credit facility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Real-time API integration (Yahoo Finance, FMP)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Multi-currency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Industry-specific templates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3-Statement Financial Model Engine — Technical Overview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20"/>
    </w:pPr>
    <w:rPr>
      <w:rFonts w:ascii="Calibri" w:cs="Calibri" w:eastAsia="Calibri" w:hAnsi="Calibri"/>
      <w:b/>
      <w:bCs/>
      <w:color w:val="1E3A8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80"/>
    </w:pPr>
    <w:rPr>
      <w:rFonts w:ascii="Calibri" w:cs="Calibri" w:eastAsia="Calibri" w:hAnsi="Calibri"/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60"/>
    </w:pPr>
    <w:rPr>
      <w:rFonts w:ascii="Calibri" w:cs="Calibri" w:eastAsia="Calibri" w:hAnsi="Calibri"/>
      <w:b/>
      <w:bCs/>
      <w:color w:val="3B82F6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3-Statement Financial Model Engine — Complete Technical Overview</dc:title>
  <dc:creator>Financial Model Engine</dc:creator>
  <dc:description>Complete technical overview of the 3-Statement Financial Model Engine</dc:description>
  <cp:lastModifiedBy>Un-named</cp:lastModifiedBy>
  <cp:revision>1</cp:revision>
  <dcterms:created xsi:type="dcterms:W3CDTF">2026-03-13T22:16:26.511Z</dcterms:created>
  <dcterms:modified xsi:type="dcterms:W3CDTF">2026-03-13T22:16:26.512Z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