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1A2E"/>
          <w:sz w:val="56"/>
        </w:rPr>
        <w:t>🐺 WOLF VALUATION ENGINE</w:t>
      </w:r>
    </w:p>
    <w:p>
      <w:pPr>
        <w:jc w:val="center"/>
      </w:pPr>
      <w:r>
        <w:rPr>
          <w:color w:val="444488"/>
          <w:sz w:val="36"/>
        </w:rPr>
        <w:t>Complete Technical Overview</w:t>
      </w:r>
    </w:p>
    <w:p>
      <w:pPr>
        <w:jc w:val="center"/>
      </w:pPr>
      <w:r>
        <w:rPr>
          <w:color w:val="666666"/>
          <w:sz w:val="24"/>
        </w:rPr>
        <w:t>CFA-Grade 3-Statement Financial Model &amp; DCF Engine</w:t>
        <w:br/>
        <w:t>Optimized for the Egyptian Market (EGX)</w:t>
      </w:r>
    </w:p>
    <w:p/>
    <w:p>
      <w:pPr>
        <w:jc w:val="center"/>
      </w:pPr>
      <w:r>
        <w:rPr>
          <w:color w:val="888888"/>
          <w:sz w:val="22"/>
        </w:rPr>
        <w:t>Version 2.0 — March 2026</w:t>
        <w:br/>
        <w:t>Developer Reference Document</w:t>
      </w:r>
    </w:p>
    <w:p>
      <w:r>
        <w:br w:type="page"/>
      </w:r>
    </w:p>
    <w:p>
      <w:pPr>
        <w:pStyle w:val="Heading1"/>
      </w:pPr>
      <w:r>
        <w:t>Table of Contents</w:t>
      </w:r>
    </w:p>
    <w:p>
      <w:pPr>
        <w:pStyle w:val="ListNumber"/>
      </w:pPr>
      <w:r>
        <w:t>1. Executive Summary &amp; Architecture</w:t>
      </w:r>
    </w:p>
    <w:p>
      <w:pPr>
        <w:pStyle w:val="ListNumber"/>
      </w:pPr>
      <w:r>
        <w:t>2. Technology Stack &amp; Project Structure</w:t>
      </w:r>
    </w:p>
    <w:p>
      <w:pPr>
        <w:pStyle w:val="ListNumber"/>
      </w:pPr>
      <w:r>
        <w:t>3. Type System &amp; Data Models (financial.ts)</w:t>
      </w:r>
    </w:p>
    <w:p>
      <w:pPr>
        <w:pStyle w:val="ListNumber"/>
      </w:pPr>
      <w:r>
        <w:t>4. Market Defaults &amp; Egyptian Tax Regimes (marketDefaults.ts)</w:t>
      </w:r>
    </w:p>
    <w:p>
      <w:pPr>
        <w:pStyle w:val="ListNumber"/>
      </w:pPr>
      <w:r>
        <w:t>5. WACC Calculation — Dual CAPM Methodology</w:t>
      </w:r>
    </w:p>
    <w:p>
      <w:pPr>
        <w:pStyle w:val="ListNumber"/>
      </w:pPr>
      <w:r>
        <w:t>6. FCFF Three-Way Cross-Verification</w:t>
      </w:r>
    </w:p>
    <w:p>
      <w:pPr>
        <w:pStyle w:val="ListNumber"/>
      </w:pPr>
      <w:r>
        <w:t>7. DCF Projections &amp; Terminal Value</w:t>
      </w:r>
    </w:p>
    <w:p>
      <w:pPr>
        <w:pStyle w:val="ListNumber"/>
      </w:pPr>
      <w:r>
        <w:t>8. EV-to-Equity Bridge &amp; Intrinsic Value</w:t>
      </w:r>
    </w:p>
    <w:p>
      <w:pPr>
        <w:pStyle w:val="ListNumber"/>
      </w:pPr>
      <w:r>
        <w:t>9. Dividend Discount Models (DDM)</w:t>
      </w:r>
    </w:p>
    <w:p>
      <w:pPr>
        <w:pStyle w:val="ListNumber"/>
      </w:pPr>
      <w:r>
        <w:t>10. Comparable Company Valuation</w:t>
      </w:r>
    </w:p>
    <w:p>
      <w:pPr>
        <w:pStyle w:val="ListNumber"/>
      </w:pPr>
      <w:r>
        <w:t>11. Blended Valuation</w:t>
      </w:r>
    </w:p>
    <w:p>
      <w:pPr>
        <w:pStyle w:val="ListNumber"/>
      </w:pPr>
      <w:r>
        <w:t>12. Financial Ratios (35+ Metrics)</w:t>
      </w:r>
    </w:p>
    <w:p>
      <w:pPr>
        <w:pStyle w:val="ListNumber"/>
      </w:pPr>
      <w:r>
        <w:t>13. Sensitivity Analysis (5×5 Matrix)</w:t>
      </w:r>
    </w:p>
    <w:p>
      <w:pPr>
        <w:pStyle w:val="ListNumber"/>
      </w:pPr>
      <w:r>
        <w:t>14. Scenario Analysis (Bear/Base/Bull)</w:t>
      </w:r>
    </w:p>
    <w:p>
      <w:pPr>
        <w:pStyle w:val="ListNumber"/>
      </w:pPr>
      <w:r>
        <w:t>15. Reverse DCF</w:t>
      </w:r>
    </w:p>
    <w:p>
      <w:pPr>
        <w:pStyle w:val="ListNumber"/>
      </w:pPr>
      <w:r>
        <w:t>16. Monte Carlo Simulation</w:t>
      </w:r>
    </w:p>
    <w:p>
      <w:pPr>
        <w:pStyle w:val="ListNumber"/>
      </w:pPr>
      <w:r>
        <w:t>17. Sector Benchmarking &amp; Quality Scorecard</w:t>
      </w:r>
    </w:p>
    <w:p>
      <w:pPr>
        <w:pStyle w:val="ListNumber"/>
      </w:pPr>
      <w:r>
        <w:t>18. Confidence Score Module</w:t>
      </w:r>
    </w:p>
    <w:p>
      <w:pPr>
        <w:pStyle w:val="ListNumber"/>
      </w:pPr>
      <w:r>
        <w:t>19. EAS/IFRS Compliance Modules</w:t>
      </w:r>
    </w:p>
    <w:p>
      <w:pPr>
        <w:pStyle w:val="ListNumber"/>
      </w:pPr>
      <w:r>
        <w:t>20. Input Validation Framework</w:t>
      </w:r>
    </w:p>
    <w:p>
      <w:pPr>
        <w:pStyle w:val="ListNumber"/>
      </w:pPr>
      <w:r>
        <w:t>21. API Integration (FMP Stable API)</w:t>
      </w:r>
    </w:p>
    <w:p>
      <w:pPr>
        <w:pStyle w:val="ListNumber"/>
      </w:pPr>
      <w:r>
        <w:t>22. State Management &amp; Hooks</w:t>
      </w:r>
    </w:p>
    <w:p>
      <w:pPr>
        <w:pStyle w:val="ListNumber"/>
      </w:pPr>
      <w:r>
        <w:t>23. Export Capabilities (Excel, PDF, JSON)</w:t>
      </w:r>
    </w:p>
    <w:p>
      <w:pPr>
        <w:pStyle w:val="ListNumber"/>
      </w:pPr>
      <w:r>
        <w:t>24. UI Components &amp; Architecture</w:t>
      </w:r>
    </w:p>
    <w:p>
      <w:pPr>
        <w:pStyle w:val="ListNumber"/>
      </w:pPr>
      <w:r>
        <w:t>25. Egyptian Regulatory Compliance</w:t>
      </w:r>
    </w:p>
    <w:p>
      <w:pPr>
        <w:pStyle w:val="ListNumber"/>
      </w:pPr>
      <w:r>
        <w:t>26. File Reference Index</w:t>
      </w:r>
    </w:p>
    <w:p>
      <w:r>
        <w:br w:type="page"/>
      </w:r>
    </w:p>
    <w:p>
      <w:pPr>
        <w:pStyle w:val="Heading1"/>
      </w:pPr>
      <w:r>
        <w:t>1. Executive Summary &amp; Architecture</w:t>
      </w:r>
    </w:p>
    <w:p>
      <w:r>
        <w:t>The WOLF Valuation Engine is a CFA-grade, browser-based financial modeling and equity valuation platform purpose-built for the Egyptian capital market (EGX). It implements a full 3-statement model engine with circular reference resolution, multiple valuation methodologies (DCF, DDM, Comparable Companies), advanced analytics (Monte Carlo simulation, Reverse DCF, Sector Benchmarking), and Egyptian regulatory compliance (Law 159/1981 profit waterfall, Law 91/2005 tax regimes, EAS/IFRS standards).</w:t>
      </w:r>
    </w:p>
    <w:p>
      <w:r>
        <w:t>The engine is designed as a single-page React/TypeScript application with Vite as the build tool. All financial calculations run client-side with no backend dependency. The architecture follows a strict separation between data types, calculation engines, UI components, and export formatters.</w:t>
      </w:r>
    </w:p>
    <w:p>
      <w:pPr>
        <w:pStyle w:val="Heading2"/>
      </w:pPr>
      <w:r>
        <w:t>Architecture Overview</w:t>
      </w:r>
    </w:p>
    <w:p>
      <w:pPr>
        <w:pStyle w:val="ListBullet"/>
      </w:pPr>
      <w:r>
        <w:rPr>
          <w:b/>
        </w:rPr>
        <w:t>Calculation Layer:</w:t>
      </w:r>
      <w:r>
        <w:t xml:space="preserve"> Core calculation engine — pure functions, no side effects</w:t>
      </w:r>
    </w:p>
    <w:p>
      <w:pPr>
        <w:pStyle w:val="ListBullet"/>
      </w:pPr>
      <w:r>
        <w:rPr>
          <w:b/>
        </w:rPr>
        <w:t>State Layer:</w:t>
      </w:r>
      <w:r>
        <w:t xml:space="preserve"> React hooks for state, memoized derived values</w:t>
      </w:r>
    </w:p>
    <w:p>
      <w:pPr>
        <w:pStyle w:val="ListBullet"/>
      </w:pPr>
      <w:r>
        <w:rPr>
          <w:b/>
        </w:rPr>
        <w:t>UI Layer:</w:t>
      </w:r>
      <w:r>
        <w:t xml:space="preserve"> Lazy-loaded tabs (Input, Valuation, Charts) with reusable components</w:t>
      </w:r>
    </w:p>
    <w:p>
      <w:pPr>
        <w:pStyle w:val="ListBullet"/>
      </w:pPr>
      <w:r>
        <w:rPr>
          <w:b/>
        </w:rPr>
        <w:t>Export Layer:</w:t>
      </w:r>
      <w:r>
        <w:t xml:space="preserve"> Excel (.xlsx), PDF, JSON export with full formula fidelity</w:t>
      </w:r>
    </w:p>
    <w:p>
      <w:pPr>
        <w:pStyle w:val="ListBullet"/>
      </w:pPr>
      <w:r>
        <w:rPr>
          <w:b/>
        </w:rPr>
        <w:t>Data Layer:</w:t>
      </w:r>
      <w:r>
        <w:t xml:space="preserve"> FMP Stable API (2026 format) for live stock data</w:t>
      </w:r>
    </w:p>
    <w:p>
      <w:pPr>
        <w:pStyle w:val="ListBullet"/>
      </w:pPr>
      <w:r>
        <w:rPr>
          <w:b/>
        </w:rPr>
        <w:t>Worker Layer:</w:t>
      </w:r>
      <w:r>
        <w:t xml:space="preserve"> Web Worker for Monte Carlo (5,000 simulations off main thread)</w:t>
      </w:r>
    </w:p>
    <w:p>
      <w:pPr>
        <w:pStyle w:val="Heading1"/>
      </w:pPr>
      <w:r>
        <w:t>2. Technology Stack &amp; Project Structure</w:t>
      </w:r>
    </w:p>
    <w:p>
      <w:pPr>
        <w:pStyle w:val="Heading2"/>
      </w:pPr>
      <w:r>
        <w:t>Stack</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Layer</w:t>
            </w:r>
          </w:p>
        </w:tc>
        <w:tc>
          <w:tcPr>
            <w:tcW w:type="dxa" w:w="2880"/>
          </w:tcPr>
          <w:p>
            <w:r>
              <w:rPr>
                <w:b/>
                <w:sz w:val="18"/>
              </w:rPr>
              <w:t>Technology</w:t>
            </w:r>
          </w:p>
        </w:tc>
        <w:tc>
          <w:tcPr>
            <w:tcW w:type="dxa" w:w="2880"/>
          </w:tcPr>
          <w:p>
            <w:r>
              <w:rPr>
                <w:b/>
                <w:sz w:val="18"/>
              </w:rPr>
              <w:t>Purpose</w:t>
            </w:r>
          </w:p>
        </w:tc>
      </w:tr>
      <w:tr>
        <w:tc>
          <w:tcPr>
            <w:tcW w:type="dxa" w:w="2880"/>
          </w:tcPr>
          <w:p>
            <w:r>
              <w:rPr>
                <w:sz w:val="18"/>
              </w:rPr>
              <w:t>Framework</w:t>
            </w:r>
          </w:p>
        </w:tc>
        <w:tc>
          <w:tcPr>
            <w:tcW w:type="dxa" w:w="2880"/>
          </w:tcPr>
          <w:p>
            <w:r>
              <w:rPr>
                <w:sz w:val="18"/>
              </w:rPr>
              <w:t>React 18 + TypeScript</w:t>
            </w:r>
          </w:p>
        </w:tc>
        <w:tc>
          <w:tcPr>
            <w:tcW w:type="dxa" w:w="2880"/>
          </w:tcPr>
          <w:p>
            <w:r>
              <w:rPr>
                <w:sz w:val="18"/>
              </w:rPr>
              <w:t>UI rendering &amp; type safety</w:t>
            </w:r>
          </w:p>
        </w:tc>
      </w:tr>
      <w:tr>
        <w:tc>
          <w:tcPr>
            <w:tcW w:type="dxa" w:w="2880"/>
          </w:tcPr>
          <w:p>
            <w:r>
              <w:rPr>
                <w:sz w:val="18"/>
              </w:rPr>
              <w:t>Build Tool</w:t>
            </w:r>
          </w:p>
        </w:tc>
        <w:tc>
          <w:tcPr>
            <w:tcW w:type="dxa" w:w="2880"/>
          </w:tcPr>
          <w:p>
            <w:r>
              <w:rPr>
                <w:sz w:val="18"/>
              </w:rPr>
              <w:t>Vite</w:t>
            </w:r>
          </w:p>
        </w:tc>
        <w:tc>
          <w:tcPr>
            <w:tcW w:type="dxa" w:w="2880"/>
          </w:tcPr>
          <w:p>
            <w:r>
              <w:rPr>
                <w:sz w:val="18"/>
              </w:rPr>
              <w:t>Fast HMR &amp; optimized builds</w:t>
            </w:r>
          </w:p>
        </w:tc>
      </w:tr>
      <w:tr>
        <w:tc>
          <w:tcPr>
            <w:tcW w:type="dxa" w:w="2880"/>
          </w:tcPr>
          <w:p>
            <w:r>
              <w:rPr>
                <w:sz w:val="18"/>
              </w:rPr>
              <w:t>Styling</w:t>
            </w:r>
          </w:p>
        </w:tc>
        <w:tc>
          <w:tcPr>
            <w:tcW w:type="dxa" w:w="2880"/>
          </w:tcPr>
          <w:p>
            <w:r>
              <w:rPr>
                <w:sz w:val="18"/>
              </w:rPr>
              <w:t>Tailwind CSS</w:t>
            </w:r>
          </w:p>
        </w:tc>
        <w:tc>
          <w:tcPr>
            <w:tcW w:type="dxa" w:w="2880"/>
          </w:tcPr>
          <w:p>
            <w:r>
              <w:rPr>
                <w:sz w:val="18"/>
              </w:rPr>
              <w:t>Utility-first responsive design</w:t>
            </w:r>
          </w:p>
        </w:tc>
      </w:tr>
      <w:tr>
        <w:tc>
          <w:tcPr>
            <w:tcW w:type="dxa" w:w="2880"/>
          </w:tcPr>
          <w:p>
            <w:r>
              <w:rPr>
                <w:sz w:val="18"/>
              </w:rPr>
              <w:t>Charts</w:t>
            </w:r>
          </w:p>
        </w:tc>
        <w:tc>
          <w:tcPr>
            <w:tcW w:type="dxa" w:w="2880"/>
          </w:tcPr>
          <w:p>
            <w:r>
              <w:rPr>
                <w:sz w:val="18"/>
              </w:rPr>
              <w:t>Recharts</w:t>
            </w:r>
          </w:p>
        </w:tc>
        <w:tc>
          <w:tcPr>
            <w:tcW w:type="dxa" w:w="2880"/>
          </w:tcPr>
          <w:p>
            <w:r>
              <w:rPr>
                <w:sz w:val="18"/>
              </w:rPr>
              <w:t>Revenue/FCF/Sensitivity visualizations</w:t>
            </w:r>
          </w:p>
        </w:tc>
      </w:tr>
      <w:tr>
        <w:tc>
          <w:tcPr>
            <w:tcW w:type="dxa" w:w="2880"/>
          </w:tcPr>
          <w:p>
            <w:r>
              <w:rPr>
                <w:sz w:val="18"/>
              </w:rPr>
              <w:t>Excel Export</w:t>
            </w:r>
          </w:p>
        </w:tc>
        <w:tc>
          <w:tcPr>
            <w:tcW w:type="dxa" w:w="2880"/>
          </w:tcPr>
          <w:p>
            <w:r>
              <w:rPr>
                <w:sz w:val="18"/>
              </w:rPr>
              <w:t>ExcelJS</w:t>
            </w:r>
          </w:p>
        </w:tc>
        <w:tc>
          <w:tcPr>
            <w:tcW w:type="dxa" w:w="2880"/>
          </w:tcPr>
          <w:p>
            <w:r>
              <w:rPr>
                <w:sz w:val="18"/>
              </w:rPr>
              <w:t>Multi-sheet .xlsx with formulas</w:t>
            </w:r>
          </w:p>
        </w:tc>
      </w:tr>
      <w:tr>
        <w:tc>
          <w:tcPr>
            <w:tcW w:type="dxa" w:w="2880"/>
          </w:tcPr>
          <w:p>
            <w:r>
              <w:rPr>
                <w:sz w:val="18"/>
              </w:rPr>
              <w:t>PDF Export</w:t>
            </w:r>
          </w:p>
        </w:tc>
        <w:tc>
          <w:tcPr>
            <w:tcW w:type="dxa" w:w="2880"/>
          </w:tcPr>
          <w:p>
            <w:r>
              <w:rPr>
                <w:sz w:val="18"/>
              </w:rPr>
              <w:t>jsPDF + html2canvas</w:t>
            </w:r>
          </w:p>
        </w:tc>
        <w:tc>
          <w:tcPr>
            <w:tcW w:type="dxa" w:w="2880"/>
          </w:tcPr>
          <w:p>
            <w:r>
              <w:rPr>
                <w:sz w:val="18"/>
              </w:rPr>
              <w:t>Professional PDF reports</w:t>
            </w:r>
          </w:p>
        </w:tc>
      </w:tr>
      <w:tr>
        <w:tc>
          <w:tcPr>
            <w:tcW w:type="dxa" w:w="2880"/>
          </w:tcPr>
          <w:p>
            <w:r>
              <w:rPr>
                <w:sz w:val="18"/>
              </w:rPr>
              <w:t>API</w:t>
            </w:r>
          </w:p>
        </w:tc>
        <w:tc>
          <w:tcPr>
            <w:tcW w:type="dxa" w:w="2880"/>
          </w:tcPr>
          <w:p>
            <w:r>
              <w:rPr>
                <w:sz w:val="18"/>
              </w:rPr>
              <w:t>Financial Modeling Prep (FMP)</w:t>
            </w:r>
          </w:p>
        </w:tc>
        <w:tc>
          <w:tcPr>
            <w:tcW w:type="dxa" w:w="2880"/>
          </w:tcPr>
          <w:p>
            <w:r>
              <w:rPr>
                <w:sz w:val="18"/>
              </w:rPr>
              <w:t>Live market data ingestion</w:t>
            </w:r>
          </w:p>
        </w:tc>
      </w:tr>
      <w:tr>
        <w:tc>
          <w:tcPr>
            <w:tcW w:type="dxa" w:w="2880"/>
          </w:tcPr>
          <w:p>
            <w:r>
              <w:rPr>
                <w:sz w:val="18"/>
              </w:rPr>
              <w:t>State</w:t>
            </w:r>
          </w:p>
        </w:tc>
        <w:tc>
          <w:tcPr>
            <w:tcW w:type="dxa" w:w="2880"/>
          </w:tcPr>
          <w:p>
            <w:r>
              <w:rPr>
                <w:sz w:val="18"/>
              </w:rPr>
              <w:t>React useState + custom hooks</w:t>
            </w:r>
          </w:p>
        </w:tc>
        <w:tc>
          <w:tcPr>
            <w:tcW w:type="dxa" w:w="2880"/>
          </w:tcPr>
          <w:p>
            <w:r>
              <w:rPr>
                <w:sz w:val="18"/>
              </w:rPr>
              <w:t>Client-side state with history</w:t>
            </w:r>
          </w:p>
        </w:tc>
      </w:tr>
      <w:tr>
        <w:tc>
          <w:tcPr>
            <w:tcW w:type="dxa" w:w="2880"/>
          </w:tcPr>
          <w:p>
            <w:r>
              <w:rPr>
                <w:sz w:val="18"/>
              </w:rPr>
              <w:t>Worker</w:t>
            </w:r>
          </w:p>
        </w:tc>
        <w:tc>
          <w:tcPr>
            <w:tcW w:type="dxa" w:w="2880"/>
          </w:tcPr>
          <w:p>
            <w:r>
              <w:rPr>
                <w:sz w:val="18"/>
              </w:rPr>
              <w:t>Web Worker API</w:t>
            </w:r>
          </w:p>
        </w:tc>
        <w:tc>
          <w:tcPr>
            <w:tcW w:type="dxa" w:w="2880"/>
          </w:tcPr>
          <w:p>
            <w:r>
              <w:rPr>
                <w:sz w:val="18"/>
              </w:rPr>
              <w:t>Monte Carlo off main thread</w:t>
            </w:r>
          </w:p>
        </w:tc>
      </w:tr>
      <w:tr>
        <w:tc>
          <w:tcPr>
            <w:tcW w:type="dxa" w:w="2880"/>
          </w:tcPr>
          <w:p>
            <w:r>
              <w:rPr>
                <w:sz w:val="18"/>
              </w:rPr>
              <w:t>Hosting</w:t>
            </w:r>
          </w:p>
        </w:tc>
        <w:tc>
          <w:tcPr>
            <w:tcW w:type="dxa" w:w="2880"/>
          </w:tcPr>
          <w:p>
            <w:r>
              <w:rPr>
                <w:sz w:val="18"/>
              </w:rPr>
              <w:t>Cloudflare Pages</w:t>
            </w:r>
          </w:p>
        </w:tc>
        <w:tc>
          <w:tcPr>
            <w:tcW w:type="dxa" w:w="2880"/>
          </w:tcPr>
          <w:p>
            <w:r>
              <w:rPr>
                <w:sz w:val="18"/>
              </w:rPr>
              <w:t>Static site deployment</w:t>
            </w:r>
          </w:p>
        </w:tc>
      </w:tr>
    </w:tbl>
    <w:p/>
    <w:p>
      <w:pPr>
        <w:pStyle w:val="Heading2"/>
      </w:pPr>
      <w:r>
        <w:t>Project Structure</w:t>
      </w:r>
    </w:p>
    <w:p>
      <w:pPr>
        <w:spacing w:before="80" w:after="80"/>
        <w:ind w:left="567"/>
      </w:pPr>
      <w:r>
        <w:rPr>
          <w:rFonts w:ascii="Consolas" w:hAnsi="Consolas"/>
          <w:color w:val="2D2D2D"/>
          <w:sz w:val="18"/>
        </w:rPr>
        <w:t>ValuationEngine/</w:t>
        <w:br/>
        <w:t>├── src/</w:t>
        <w:br/>
        <w:t>│   ├── App.tsx                      # Main orchestrator (177 lines)</w:t>
        <w:br/>
        <w:t>│   ├── main.tsx                     # React entry point</w:t>
        <w:br/>
        <w:t>│   ├── types/</w:t>
        <w:br/>
        <w:t>│   │   └── financial.ts             # All TypeScript interfaces (465 lines)</w:t>
        <w:br/>
        <w:t>│   ├── constants/</w:t>
        <w:br/>
        <w:t>│   │   ├── initialData.ts           # Default sample data &amp; assumptions</w:t>
        <w:br/>
        <w:t>│   │   ├── marketDefaults.ts        # USA/Egypt market configs &amp; tax categories</w:t>
        <w:br/>
        <w:t>│   │   └── valuationStyles.ts       # Conservative/Moderate/Aggressive presets</w:t>
        <w:br/>
        <w:t>│   ├── utils/</w:t>
        <w:br/>
        <w:t>│   │   ├── valuationEngine.ts       # CORE ENGINE (1,098 lines)</w:t>
        <w:br/>
        <w:t>│   │   ├── advancedAnalysis.ts      # Reverse DCF, Monte Carlo, Benchmarks, Quality (679 lines)</w:t>
        <w:br/>
        <w:t>│   │   ├── confidenceScore.ts       # 3-pillar model confidence (186 lines)</w:t>
        <w:br/>
        <w:t>│   │   ├── valuation.ts             # Convenience wrappers (207 lines)</w:t>
        <w:br/>
        <w:t>│   │   ├── easModules.ts            # EAS 48/31/12/23 compliance (232 lines)</w:t>
        <w:br/>
        <w:t>│   │   ├── inputValidation.ts       # Hard blocks, warnings, edge cases (353 lines)</w:t>
        <w:br/>
        <w:t>│   │   ├── excelExport.ts           # Multi-sheet Excel export (52K)</w:t>
        <w:br/>
        <w:t>│   │   ├── excelExportPro.ts        # Pro Excel with formulas (49K)</w:t>
        <w:br/>
        <w:t>│   │   ├── pdfExport.ts             # Professional PDF reports (80K)</w:t>
        <w:br/>
        <w:t>│   │   ├── jsonExport.ts            # Structured JSON export</w:t>
        <w:br/>
        <w:t>│   │   ├── formatters.ts            # USD/EGP currency formatting (203 lines)</w:t>
        <w:br/>
        <w:t>│   │   ├── industryMapping.ts       # Ticker → industry mapping</w:t>
        <w:br/>
        <w:t>│   │   └── calculations/</w:t>
        <w:br/>
        <w:t>│   │       ├── dcf.ts               # DCF projection helpers</w:t>
        <w:br/>
        <w:t>│   │       ├── comparables.ts       # Comparable company helpers</w:t>
        <w:br/>
        <w:t>│   │       ├── metrics.ts           # Key metrics &amp; recommendation</w:t>
        <w:br/>
        <w:t>│   │       └── scenarios.ts         # Scenario case calculations</w:t>
        <w:br/>
        <w:t>│   ├── hooks/</w:t>
        <w:br/>
        <w:t>│   │   ├── useFinancialData.ts      # State management with undo/redo &amp; auto-save</w:t>
        <w:br/>
        <w:t>│   │   ├── useValuationCalculations.ts  # Memoized calculation pipeline</w:t>
        <w:br/>
        <w:t>│   │   ├── useHistory.ts            # Undo/redo history stack</w:t>
        <w:br/>
        <w:t>│   │   ├── useTheme.ts             # Dark/light mode</w:t>
        <w:br/>
        <w:t>│   │   └── useKeyboardShortcuts.ts  # Ctrl+Z, Ctrl+Y, Ctrl+S</w:t>
        <w:br/>
        <w:t>│   ├── services/</w:t>
        <w:br/>
        <w:t>│   │   ├── stockAPI.ts              # FMP Stable API client (729 lines)</w:t>
        <w:br/>
        <w:t>│   │   └── yahooFinanceAPI.ts       # Yahoo Finance fallback</w:t>
        <w:br/>
        <w:t>│   ├── workers/</w:t>
        <w:br/>
        <w:t>│   │   └── monteCarlo.worker.ts     # Web Worker for Monte Carlo (143 lines)</w:t>
        <w:br/>
        <w:t>│   └── components/</w:t>
        <w:br/>
        <w:t>│       ├── layout/                  # Header, Footer, TabNavigation, CompanyHeader</w:t>
        <w:br/>
        <w:t>│       ├── input/                   # InputTab (financial data entry forms)</w:t>
        <w:br/>
        <w:t>│       ├── valuation/               # ValuationTab + sections (DCF, Comps, DDM...)</w:t>
        <w:br/>
        <w:t>│       ├── charts/                  # ChartsTab (Recharts visualizations)</w:t>
        <w:br/>
        <w:t>│       └── shared/                  # ErrorBoundary, LoadingFallback</w:t>
        <w:br/>
        <w:t>│       ├── StockSearch.tsx          # Ticker search with API integration</w:t>
        <w:br/>
        <w:t>│       ├── AssumptionsPanel.tsx      # WACC, CAPM, projection drivers</w:t>
        <w:br/>
        <w:t>│       ├── DCFResults.tsx           # DCF output display</w:t>
        <w:br/>
        <w:t>│       ├── ComparableCompanies.tsx  # Peer comparison table</w:t>
        <w:br/>
        <w:t>│       ├── FootballFieldChart.tsx   # Multi-methodology range chart</w:t>
        <w:br/>
        <w:t>│       ├── KeyMetrics.tsx           # Financial ratios dashboard</w:t>
        <w:br/>
        <w:t>│       ├── ValuationSummary.tsx     # Verdict &amp; recommendation</w:t>
        <w:br/>
        <w:t>│       ├── ScenarioToggle.tsx       # Bear/Base/Bull selector</w:t>
        <w:br/>
        <w:t>│       ├── AIReport.tsx             # AI-powered analysis report</w:t>
        <w:br/>
        <w:t>│       ├── UserAuth.tsx             # User authentication</w:t>
        <w:br/>
        <w:t>│       └── ...                      # 17 total standalone components</w:t>
        <w:br/>
      </w:r>
    </w:p>
    <w:p>
      <w:r>
        <w:br w:type="page"/>
      </w:r>
    </w:p>
    <w:p>
      <w:pPr>
        <w:pStyle w:val="Heading1"/>
      </w:pPr>
      <w:r>
        <w:t>3. Type System &amp; Data Models</w:t>
      </w:r>
    </w:p>
    <w:p>
      <w:r>
        <w:t>File: src/types/financial.ts (465 lines)</w:t>
      </w:r>
    </w:p>
    <w:p>
      <w:r>
        <w:t>The entire engine is strictly typed in TypeScript. Every financial input, assumption, intermediate calculation, and output has a corresponding interface. This ensures compile-time safety across all calculation paths, export formatters, and UI components.</w:t>
      </w:r>
    </w:p>
    <w:p>
      <w:pPr>
        <w:pStyle w:val="Heading2"/>
      </w:pPr>
      <w:r>
        <w:t>Core Interfaces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Interface</w:t>
            </w:r>
          </w:p>
        </w:tc>
        <w:tc>
          <w:tcPr>
            <w:tcW w:type="dxa" w:w="2880"/>
          </w:tcPr>
          <w:p>
            <w:r>
              <w:rPr>
                <w:b/>
                <w:sz w:val="18"/>
              </w:rPr>
              <w:t>Fields</w:t>
            </w:r>
          </w:p>
        </w:tc>
        <w:tc>
          <w:tcPr>
            <w:tcW w:type="dxa" w:w="2880"/>
          </w:tcPr>
          <w:p>
            <w:r>
              <w:rPr>
                <w:b/>
                <w:sz w:val="18"/>
              </w:rPr>
              <w:t>Description</w:t>
            </w:r>
          </w:p>
        </w:tc>
      </w:tr>
      <w:tr>
        <w:tc>
          <w:tcPr>
            <w:tcW w:type="dxa" w:w="2880"/>
          </w:tcPr>
          <w:p>
            <w:r>
              <w:rPr>
                <w:sz w:val="18"/>
              </w:rPr>
              <w:t>IncomeStatement</w:t>
            </w:r>
          </w:p>
        </w:tc>
        <w:tc>
          <w:tcPr>
            <w:tcW w:type="dxa" w:w="2880"/>
          </w:tcPr>
          <w:p>
            <w:r>
              <w:rPr>
                <w:sz w:val="18"/>
              </w:rPr>
              <w:t>10</w:t>
            </w:r>
          </w:p>
        </w:tc>
        <w:tc>
          <w:tcPr>
            <w:tcW w:type="dxa" w:w="2880"/>
          </w:tcPr>
          <w:p>
            <w:r>
              <w:rPr>
                <w:sz w:val="18"/>
              </w:rPr>
              <w:t>Revenue, COGS, Gross Profit, OpEx, EBIT, Interest, Tax, NI, D&amp;A</w:t>
            </w:r>
          </w:p>
        </w:tc>
      </w:tr>
      <w:tr>
        <w:tc>
          <w:tcPr>
            <w:tcW w:type="dxa" w:w="2880"/>
          </w:tcPr>
          <w:p>
            <w:r>
              <w:rPr>
                <w:sz w:val="18"/>
              </w:rPr>
              <w:t>BalanceSheet</w:t>
            </w:r>
          </w:p>
        </w:tc>
        <w:tc>
          <w:tcPr>
            <w:tcW w:type="dxa" w:w="2880"/>
          </w:tcPr>
          <w:p>
            <w:r>
              <w:rPr>
                <w:sz w:val="18"/>
              </w:rPr>
              <w:t>18+</w:t>
            </w:r>
          </w:p>
        </w:tc>
        <w:tc>
          <w:tcPr>
            <w:tcW w:type="dxa" w:w="2880"/>
          </w:tcPr>
          <w:p>
            <w:r>
              <w:rPr>
                <w:sz w:val="18"/>
              </w:rPr>
              <w:t>Current/Non-current assets, liabilities, equity, optional EAS fields</w:t>
            </w:r>
          </w:p>
        </w:tc>
      </w:tr>
      <w:tr>
        <w:tc>
          <w:tcPr>
            <w:tcW w:type="dxa" w:w="2880"/>
          </w:tcPr>
          <w:p>
            <w:r>
              <w:rPr>
                <w:sz w:val="18"/>
              </w:rPr>
              <w:t>CashFlowStatement</w:t>
            </w:r>
          </w:p>
        </w:tc>
        <w:tc>
          <w:tcPr>
            <w:tcW w:type="dxa" w:w="2880"/>
          </w:tcPr>
          <w:p>
            <w:r>
              <w:rPr>
                <w:sz w:val="18"/>
              </w:rPr>
              <w:t>5+</w:t>
            </w:r>
          </w:p>
        </w:tc>
        <w:tc>
          <w:tcPr>
            <w:tcW w:type="dxa" w:w="2880"/>
          </w:tcPr>
          <w:p>
            <w:r>
              <w:rPr>
                <w:sz w:val="18"/>
              </w:rPr>
              <w:t>Operating CF, CapEx, FCF, Dividends Paid, Net Change</w:t>
            </w:r>
          </w:p>
        </w:tc>
      </w:tr>
      <w:tr>
        <w:tc>
          <w:tcPr>
            <w:tcW w:type="dxa" w:w="2880"/>
          </w:tcPr>
          <w:p>
            <w:r>
              <w:rPr>
                <w:sz w:val="18"/>
              </w:rPr>
              <w:t>FinancialData</w:t>
            </w:r>
          </w:p>
        </w:tc>
        <w:tc>
          <w:tcPr>
            <w:tcW w:type="dxa" w:w="2880"/>
          </w:tcPr>
          <w:p>
            <w:r>
              <w:rPr>
                <w:sz w:val="18"/>
              </w:rPr>
              <w:t>10+</w:t>
            </w:r>
          </w:p>
        </w:tc>
        <w:tc>
          <w:tcPr>
            <w:tcW w:type="dxa" w:w="2880"/>
          </w:tcPr>
          <w:p>
            <w:r>
              <w:rPr>
                <w:sz w:val="18"/>
              </w:rPr>
              <w:t>Company name, ticker, shares, price, IS/BS/CF, historical data</w:t>
            </w:r>
          </w:p>
        </w:tc>
      </w:tr>
      <w:tr>
        <w:tc>
          <w:tcPr>
            <w:tcW w:type="dxa" w:w="2880"/>
          </w:tcPr>
          <w:p>
            <w:r>
              <w:rPr>
                <w:sz w:val="18"/>
              </w:rPr>
              <w:t>ValuationAssumptions</w:t>
            </w:r>
          </w:p>
        </w:tc>
        <w:tc>
          <w:tcPr>
            <w:tcW w:type="dxa" w:w="2880"/>
          </w:tcPr>
          <w:p>
            <w:r>
              <w:rPr>
                <w:sz w:val="18"/>
              </w:rPr>
              <w:t>30+</w:t>
            </w:r>
          </w:p>
        </w:tc>
        <w:tc>
          <w:tcPr>
            <w:tcW w:type="dxa" w:w="2880"/>
          </w:tcPr>
          <w:p>
            <w:r>
              <w:rPr>
                <w:sz w:val="18"/>
              </w:rPr>
              <w:t>All DCF/CAPM/DDM/Scenario parameters</w:t>
            </w:r>
          </w:p>
        </w:tc>
      </w:tr>
      <w:tr>
        <w:tc>
          <w:tcPr>
            <w:tcW w:type="dxa" w:w="2880"/>
          </w:tcPr>
          <w:p>
            <w:r>
              <w:rPr>
                <w:sz w:val="18"/>
              </w:rPr>
              <w:t>DCFProjection</w:t>
            </w:r>
          </w:p>
        </w:tc>
        <w:tc>
          <w:tcPr>
            <w:tcW w:type="dxa" w:w="2880"/>
          </w:tcPr>
          <w:p>
            <w:r>
              <w:rPr>
                <w:sz w:val="18"/>
              </w:rPr>
              <w:t>11</w:t>
            </w:r>
          </w:p>
        </w:tc>
        <w:tc>
          <w:tcPr>
            <w:tcW w:type="dxa" w:w="2880"/>
          </w:tcPr>
          <w:p>
            <w:r>
              <w:rPr>
                <w:sz w:val="18"/>
              </w:rPr>
              <w:t>Year, Revenue, EBITDA, D&amp;A, EBIT, NOPAT, CapEx, ΔWC, FCFF, DF, PV</w:t>
            </w:r>
          </w:p>
        </w:tc>
      </w:tr>
      <w:tr>
        <w:tc>
          <w:tcPr>
            <w:tcW w:type="dxa" w:w="2880"/>
          </w:tcPr>
          <w:p>
            <w:r>
              <w:rPr>
                <w:sz w:val="18"/>
              </w:rPr>
              <w:t>WACCResult</w:t>
            </w:r>
          </w:p>
        </w:tc>
        <w:tc>
          <w:tcPr>
            <w:tcW w:type="dxa" w:w="2880"/>
          </w:tcPr>
          <w:p>
            <w:r>
              <w:rPr>
                <w:sz w:val="18"/>
              </w:rPr>
              <w:t>10</w:t>
            </w:r>
          </w:p>
        </w:tc>
        <w:tc>
          <w:tcPr>
            <w:tcW w:type="dxa" w:w="2880"/>
          </w:tcPr>
          <w:p>
            <w:r>
              <w:rPr>
                <w:sz w:val="18"/>
              </w:rPr>
              <w:t>Ke, Kd(1-t), weights, WACC, Market Cap, Debt, CAPM method</w:t>
            </w:r>
          </w:p>
        </w:tc>
      </w:tr>
      <w:tr>
        <w:tc>
          <w:tcPr>
            <w:tcW w:type="dxa" w:w="2880"/>
          </w:tcPr>
          <w:p>
            <w:r>
              <w:rPr>
                <w:sz w:val="18"/>
              </w:rPr>
              <w:t>FCFFVerification</w:t>
            </w:r>
          </w:p>
        </w:tc>
        <w:tc>
          <w:tcPr>
            <w:tcW w:type="dxa" w:w="2880"/>
          </w:tcPr>
          <w:p>
            <w:r>
              <w:rPr>
                <w:sz w:val="18"/>
              </w:rPr>
              <w:t>5</w:t>
            </w:r>
          </w:p>
        </w:tc>
        <w:tc>
          <w:tcPr>
            <w:tcW w:type="dxa" w:w="2880"/>
          </w:tcPr>
          <w:p>
            <w:r>
              <w:rPr>
                <w:sz w:val="18"/>
              </w:rPr>
              <w:t>Method 1/2/3 values, allMatch boolean, tolerance</w:t>
            </w:r>
          </w:p>
        </w:tc>
      </w:tr>
      <w:tr>
        <w:tc>
          <w:tcPr>
            <w:tcW w:type="dxa" w:w="2880"/>
          </w:tcPr>
          <w:p>
            <w:r>
              <w:rPr>
                <w:sz w:val="18"/>
              </w:rPr>
              <w:t>DCFResult</w:t>
            </w:r>
          </w:p>
        </w:tc>
        <w:tc>
          <w:tcPr>
            <w:tcW w:type="dxa" w:w="2880"/>
          </w:tcPr>
          <w:p>
            <w:r>
              <w:rPr>
                <w:sz w:val="18"/>
              </w:rPr>
              <w:t>11</w:t>
            </w:r>
          </w:p>
        </w:tc>
        <w:tc>
          <w:tcPr>
            <w:tcW w:type="dxa" w:w="2880"/>
          </w:tcPr>
          <w:p>
            <w:r>
              <w:rPr>
                <w:sz w:val="18"/>
              </w:rPr>
              <w:t>Sum PV, TV, PV(TV), TV%, EV, Net Debt, Equity, Price, Upside, Verdict</w:t>
            </w:r>
          </w:p>
        </w:tc>
      </w:tr>
      <w:tr>
        <w:tc>
          <w:tcPr>
            <w:tcW w:type="dxa" w:w="2880"/>
          </w:tcPr>
          <w:p>
            <w:r>
              <w:rPr>
                <w:sz w:val="18"/>
              </w:rPr>
              <w:t>DDMResult</w:t>
            </w:r>
          </w:p>
        </w:tc>
        <w:tc>
          <w:tcPr>
            <w:tcW w:type="dxa" w:w="2880"/>
          </w:tcPr>
          <w:p>
            <w:r>
              <w:rPr>
                <w:sz w:val="18"/>
              </w:rPr>
              <w:t>5</w:t>
            </w:r>
          </w:p>
        </w:tc>
        <w:tc>
          <w:tcPr>
            <w:tcW w:type="dxa" w:w="2880"/>
          </w:tcPr>
          <w:p>
            <w:r>
              <w:rPr>
                <w:sz w:val="18"/>
              </w:rPr>
              <w:t>Gordon Growth, Two-Stage, H-Model values, applicable flag</w:t>
            </w:r>
          </w:p>
        </w:tc>
      </w:tr>
      <w:tr>
        <w:tc>
          <w:tcPr>
            <w:tcW w:type="dxa" w:w="2880"/>
          </w:tcPr>
          <w:p>
            <w:r>
              <w:rPr>
                <w:sz w:val="18"/>
              </w:rPr>
              <w:t>SensitivityMatrix</w:t>
            </w:r>
          </w:p>
        </w:tc>
        <w:tc>
          <w:tcPr>
            <w:tcW w:type="dxa" w:w="2880"/>
          </w:tcPr>
          <w:p>
            <w:r>
              <w:rPr>
                <w:sz w:val="18"/>
              </w:rPr>
              <w:t>3</w:t>
            </w:r>
          </w:p>
        </w:tc>
        <w:tc>
          <w:tcPr>
            <w:tcW w:type="dxa" w:w="2880"/>
          </w:tcPr>
          <w:p>
            <w:r>
              <w:rPr>
                <w:sz w:val="18"/>
              </w:rPr>
              <w:t>WACC axis, Growth axis, 5×5 cell grid</w:t>
            </w:r>
          </w:p>
        </w:tc>
      </w:tr>
      <w:tr>
        <w:tc>
          <w:tcPr>
            <w:tcW w:type="dxa" w:w="2880"/>
          </w:tcPr>
          <w:p>
            <w:r>
              <w:rPr>
                <w:sz w:val="18"/>
              </w:rPr>
              <w:t>ScenarioAnalysis</w:t>
            </w:r>
          </w:p>
        </w:tc>
        <w:tc>
          <w:tcPr>
            <w:tcW w:type="dxa" w:w="2880"/>
          </w:tcPr>
          <w:p>
            <w:r>
              <w:rPr>
                <w:sz w:val="18"/>
              </w:rPr>
              <w:t>4</w:t>
            </w:r>
          </w:p>
        </w:tc>
        <w:tc>
          <w:tcPr>
            <w:tcW w:type="dxa" w:w="2880"/>
          </w:tcPr>
          <w:p>
            <w:r>
              <w:rPr>
                <w:sz w:val="18"/>
              </w:rPr>
              <w:t>Bear/Base/Bull cases + weighted value</w:t>
            </w:r>
          </w:p>
        </w:tc>
      </w:tr>
      <w:tr>
        <w:tc>
          <w:tcPr>
            <w:tcW w:type="dxa" w:w="2880"/>
          </w:tcPr>
          <w:p>
            <w:r>
              <w:rPr>
                <w:sz w:val="18"/>
              </w:rPr>
              <w:t>FinancialRatios</w:t>
            </w:r>
          </w:p>
        </w:tc>
        <w:tc>
          <w:tcPr>
            <w:tcW w:type="dxa" w:w="2880"/>
          </w:tcPr>
          <w:p>
            <w:r>
              <w:rPr>
                <w:sz w:val="18"/>
              </w:rPr>
              <w:t>35+</w:t>
            </w:r>
          </w:p>
        </w:tc>
        <w:tc>
          <w:tcPr>
            <w:tcW w:type="dxa" w:w="2880"/>
          </w:tcPr>
          <w:p>
            <w:r>
              <w:rPr>
                <w:sz w:val="18"/>
              </w:rPr>
              <w:t>Profitability, Leverage, Liquidity, Efficiency, Valuation multiples</w:t>
            </w:r>
          </w:p>
        </w:tc>
      </w:tr>
      <w:tr>
        <w:tc>
          <w:tcPr>
            <w:tcW w:type="dxa" w:w="2880"/>
          </w:tcPr>
          <w:p>
            <w:r>
              <w:rPr>
                <w:sz w:val="18"/>
              </w:rPr>
              <w:t>ValidationAlert</w:t>
            </w:r>
          </w:p>
        </w:tc>
        <w:tc>
          <w:tcPr>
            <w:tcW w:type="dxa" w:w="2880"/>
          </w:tcPr>
          <w:p>
            <w:r>
              <w:rPr>
                <w:sz w:val="18"/>
              </w:rPr>
              <w:t>4</w:t>
            </w:r>
          </w:p>
        </w:tc>
        <w:tc>
          <w:tcPr>
            <w:tcW w:type="dxa" w:w="2880"/>
          </w:tcPr>
          <w:p>
            <w:r>
              <w:rPr>
                <w:sz w:val="18"/>
              </w:rPr>
              <w:t>type (error/warning/info), message, field, blocking flag</w:t>
            </w:r>
          </w:p>
        </w:tc>
      </w:tr>
      <w:tr>
        <w:tc>
          <w:tcPr>
            <w:tcW w:type="dxa" w:w="2880"/>
          </w:tcPr>
          <w:p>
            <w:r>
              <w:rPr>
                <w:sz w:val="18"/>
              </w:rPr>
              <w:t>ValuationJSON</w:t>
            </w:r>
          </w:p>
        </w:tc>
        <w:tc>
          <w:tcPr>
            <w:tcW w:type="dxa" w:w="2880"/>
          </w:tcPr>
          <w:p>
            <w:r>
              <w:rPr>
                <w:sz w:val="18"/>
              </w:rPr>
              <w:t>nested</w:t>
            </w:r>
          </w:p>
        </w:tc>
        <w:tc>
          <w:tcPr>
            <w:tcW w:type="dxa" w:w="2880"/>
          </w:tcPr>
          <w:p>
            <w:r>
              <w:rPr>
                <w:sz w:val="18"/>
              </w:rPr>
              <w:t>Full export schema with metadata, inputs, all calculations</w:t>
            </w:r>
          </w:p>
        </w:tc>
      </w:tr>
    </w:tbl>
    <w:p/>
    <w:p>
      <w:pPr>
        <w:pStyle w:val="Heading2"/>
      </w:pPr>
      <w:r>
        <w:t>Enumerated Types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Type</w:t>
            </w:r>
          </w:p>
        </w:tc>
        <w:tc>
          <w:tcPr>
            <w:tcW w:type="dxa" w:w="2880"/>
          </w:tcPr>
          <w:p>
            <w:r>
              <w:rPr>
                <w:b/>
                <w:sz w:val="18"/>
              </w:rPr>
              <w:t>Values</w:t>
            </w:r>
          </w:p>
        </w:tc>
        <w:tc>
          <w:tcPr>
            <w:tcW w:type="dxa" w:w="2880"/>
          </w:tcPr>
          <w:p>
            <w:r>
              <w:rPr>
                <w:b/>
                <w:sz w:val="18"/>
              </w:rPr>
              <w:t>Purpose</w:t>
            </w:r>
          </w:p>
        </w:tc>
      </w:tr>
      <w:tr>
        <w:tc>
          <w:tcPr>
            <w:tcW w:type="dxa" w:w="2880"/>
          </w:tcPr>
          <w:p>
            <w:r>
              <w:rPr>
                <w:sz w:val="18"/>
              </w:rPr>
              <w:t>CAPMMethod</w:t>
            </w:r>
          </w:p>
        </w:tc>
        <w:tc>
          <w:tcPr>
            <w:tcW w:type="dxa" w:w="2880"/>
          </w:tcPr>
          <w:p>
            <w:r>
              <w:rPr>
                <w:sz w:val="18"/>
              </w:rPr>
              <w:t>'A' | 'B'</w:t>
            </w:r>
          </w:p>
        </w:tc>
        <w:tc>
          <w:tcPr>
            <w:tcW w:type="dxa" w:w="2880"/>
          </w:tcPr>
          <w:p>
            <w:r>
              <w:rPr>
                <w:sz w:val="18"/>
              </w:rPr>
              <w:t>Local Currency CAPM vs USD Build-Up</w:t>
            </w:r>
          </w:p>
        </w:tc>
      </w:tr>
      <w:tr>
        <w:tc>
          <w:tcPr>
            <w:tcW w:type="dxa" w:w="2880"/>
          </w:tcPr>
          <w:p>
            <w:r>
              <w:rPr>
                <w:sz w:val="18"/>
              </w:rPr>
              <w:t>EgyptTaxCategory</w:t>
            </w:r>
          </w:p>
        </w:tc>
        <w:tc>
          <w:tcPr>
            <w:tcW w:type="dxa" w:w="2880"/>
          </w:tcPr>
          <w:p>
            <w:r>
              <w:rPr>
                <w:sz w:val="18"/>
              </w:rPr>
              <w:t>5 categories</w:t>
            </w:r>
          </w:p>
        </w:tc>
        <w:tc>
          <w:tcPr>
            <w:tcW w:type="dxa" w:w="2880"/>
          </w:tcPr>
          <w:p>
            <w:r>
              <w:rPr>
                <w:sz w:val="18"/>
              </w:rPr>
              <w:t>standard, oil_gas, suez_canal, free_zone, custom</w:t>
            </w:r>
          </w:p>
        </w:tc>
      </w:tr>
      <w:tr>
        <w:tc>
          <w:tcPr>
            <w:tcW w:type="dxa" w:w="2880"/>
          </w:tcPr>
          <w:p>
            <w:r>
              <w:rPr>
                <w:sz w:val="18"/>
              </w:rPr>
              <w:t>BetaType</w:t>
            </w:r>
          </w:p>
        </w:tc>
        <w:tc>
          <w:tcPr>
            <w:tcW w:type="dxa" w:w="2880"/>
          </w:tcPr>
          <w:p>
            <w:r>
              <w:rPr>
                <w:sz w:val="18"/>
              </w:rPr>
              <w:t>'raw' | 'adjusted' | 'relevered'</w:t>
            </w:r>
          </w:p>
        </w:tc>
        <w:tc>
          <w:tcPr>
            <w:tcW w:type="dxa" w:w="2880"/>
          </w:tcPr>
          <w:p>
            <w:r>
              <w:rPr>
                <w:sz w:val="18"/>
              </w:rPr>
              <w:t>Beta calculation methodology</w:t>
            </w:r>
          </w:p>
        </w:tc>
      </w:tr>
      <w:tr>
        <w:tc>
          <w:tcPr>
            <w:tcW w:type="dxa" w:w="2880"/>
          </w:tcPr>
          <w:p>
            <w:r>
              <w:rPr>
                <w:sz w:val="18"/>
              </w:rPr>
              <w:t>DiscountingConvention</w:t>
            </w:r>
          </w:p>
        </w:tc>
        <w:tc>
          <w:tcPr>
            <w:tcW w:type="dxa" w:w="2880"/>
          </w:tcPr>
          <w:p>
            <w:r>
              <w:rPr>
                <w:sz w:val="18"/>
              </w:rPr>
              <w:t>'end_of_year' | 'mid_year'</w:t>
            </w:r>
          </w:p>
        </w:tc>
        <w:tc>
          <w:tcPr>
            <w:tcW w:type="dxa" w:w="2880"/>
          </w:tcPr>
          <w:p>
            <w:r>
              <w:rPr>
                <w:sz w:val="18"/>
              </w:rPr>
              <w:t>Cash flow timing assumption</w:t>
            </w:r>
          </w:p>
        </w:tc>
      </w:tr>
      <w:tr>
        <w:tc>
          <w:tcPr>
            <w:tcW w:type="dxa" w:w="2880"/>
          </w:tcPr>
          <w:p>
            <w:r>
              <w:rPr>
                <w:sz w:val="18"/>
              </w:rPr>
              <w:t>TerminalValueMethod</w:t>
            </w:r>
          </w:p>
        </w:tc>
        <w:tc>
          <w:tcPr>
            <w:tcW w:type="dxa" w:w="2880"/>
          </w:tcPr>
          <w:p>
            <w:r>
              <w:rPr>
                <w:sz w:val="18"/>
              </w:rPr>
              <w:t>'gordon_growth' | 'exit_multiple'</w:t>
            </w:r>
          </w:p>
        </w:tc>
        <w:tc>
          <w:tcPr>
            <w:tcW w:type="dxa" w:w="2880"/>
          </w:tcPr>
          <w:p>
            <w:r>
              <w:rPr>
                <w:sz w:val="18"/>
              </w:rPr>
              <w:t>Terminal value approach</w:t>
            </w:r>
          </w:p>
        </w:tc>
      </w:tr>
      <w:tr>
        <w:tc>
          <w:tcPr>
            <w:tcW w:type="dxa" w:w="2880"/>
          </w:tcPr>
          <w:p>
            <w:r>
              <w:rPr>
                <w:sz w:val="18"/>
              </w:rPr>
              <w:t>MarketRegion</w:t>
            </w:r>
          </w:p>
        </w:tc>
        <w:tc>
          <w:tcPr>
            <w:tcW w:type="dxa" w:w="2880"/>
          </w:tcPr>
          <w:p>
            <w:r>
              <w:rPr>
                <w:sz w:val="18"/>
              </w:rPr>
              <w:t>'USA' | 'Egypt'</w:t>
            </w:r>
          </w:p>
        </w:tc>
        <w:tc>
          <w:tcPr>
            <w:tcW w:type="dxa" w:w="2880"/>
          </w:tcPr>
          <w:p>
            <w:r>
              <w:rPr>
                <w:sz w:val="18"/>
              </w:rPr>
              <w:t>Market configuration selector</w:t>
            </w:r>
          </w:p>
        </w:tc>
      </w:tr>
    </w:tbl>
    <w:p>
      <w:r>
        <w:br w:type="page"/>
      </w:r>
    </w:p>
    <w:p>
      <w:pPr>
        <w:pStyle w:val="Heading1"/>
      </w:pPr>
      <w:r>
        <w:t>4. Market Defaults &amp; Egyptian Tax Regimes</w:t>
      </w:r>
    </w:p>
    <w:p>
      <w:r>
        <w:t>File: src/constants/marketDefaults.ts (96 lines)</w:t>
      </w:r>
    </w:p>
    <w:p>
      <w:pPr>
        <w:pStyle w:val="Heading2"/>
      </w:pPr>
      <w:r>
        <w:t>Dual-Market Configuration</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Parameter</w:t>
            </w:r>
          </w:p>
        </w:tc>
        <w:tc>
          <w:tcPr>
            <w:tcW w:type="dxa" w:w="2160"/>
          </w:tcPr>
          <w:p>
            <w:r>
              <w:rPr>
                <w:b/>
                <w:sz w:val="18"/>
              </w:rPr>
              <w:t>USA</w:t>
            </w:r>
          </w:p>
        </w:tc>
        <w:tc>
          <w:tcPr>
            <w:tcW w:type="dxa" w:w="2160"/>
          </w:tcPr>
          <w:p>
            <w:r>
              <w:rPr>
                <w:b/>
                <w:sz w:val="18"/>
              </w:rPr>
              <w:t>Egypt</w:t>
            </w:r>
          </w:p>
        </w:tc>
        <w:tc>
          <w:tcPr>
            <w:tcW w:type="dxa" w:w="2160"/>
          </w:tcPr>
          <w:p>
            <w:r>
              <w:rPr>
                <w:b/>
                <w:sz w:val="18"/>
              </w:rPr>
              <w:t>Source</w:t>
            </w:r>
          </w:p>
        </w:tc>
      </w:tr>
      <w:tr>
        <w:tc>
          <w:tcPr>
            <w:tcW w:type="dxa" w:w="2160"/>
          </w:tcPr>
          <w:p>
            <w:r>
              <w:rPr>
                <w:sz w:val="18"/>
              </w:rPr>
              <w:t>Risk-Free Rate</w:t>
            </w:r>
          </w:p>
        </w:tc>
        <w:tc>
          <w:tcPr>
            <w:tcW w:type="dxa" w:w="2160"/>
          </w:tcPr>
          <w:p>
            <w:r>
              <w:rPr>
                <w:sz w:val="18"/>
              </w:rPr>
              <w:t>4.5%</w:t>
            </w:r>
          </w:p>
        </w:tc>
        <w:tc>
          <w:tcPr>
            <w:tcW w:type="dxa" w:w="2160"/>
          </w:tcPr>
          <w:p>
            <w:r>
              <w:rPr>
                <w:sz w:val="18"/>
              </w:rPr>
              <w:t>22.0%</w:t>
            </w:r>
          </w:p>
        </w:tc>
        <w:tc>
          <w:tcPr>
            <w:tcW w:type="dxa" w:w="2160"/>
          </w:tcPr>
          <w:p>
            <w:r>
              <w:rPr>
                <w:sz w:val="18"/>
              </w:rPr>
              <w:t>10Y Treasury / 10Y EG Bond</w:t>
            </w:r>
          </w:p>
        </w:tc>
      </w:tr>
      <w:tr>
        <w:tc>
          <w:tcPr>
            <w:tcW w:type="dxa" w:w="2160"/>
          </w:tcPr>
          <w:p>
            <w:r>
              <w:rPr>
                <w:sz w:val="18"/>
              </w:rPr>
              <w:t>Market Risk Premium</w:t>
            </w:r>
          </w:p>
        </w:tc>
        <w:tc>
          <w:tcPr>
            <w:tcW w:type="dxa" w:w="2160"/>
          </w:tcPr>
          <w:p>
            <w:r>
              <w:rPr>
                <w:sz w:val="18"/>
              </w:rPr>
              <w:t>5.5%</w:t>
            </w:r>
          </w:p>
        </w:tc>
        <w:tc>
          <w:tcPr>
            <w:tcW w:type="dxa" w:w="2160"/>
          </w:tcPr>
          <w:p>
            <w:r>
              <w:rPr>
                <w:sz w:val="18"/>
              </w:rPr>
              <w:t>5.5%</w:t>
            </w:r>
          </w:p>
        </w:tc>
        <w:tc>
          <w:tcPr>
            <w:tcW w:type="dxa" w:w="2160"/>
          </w:tcPr>
          <w:p>
            <w:r>
              <w:rPr>
                <w:sz w:val="18"/>
              </w:rPr>
              <w:t>Damodaran Mature ERP</w:t>
            </w:r>
          </w:p>
        </w:tc>
      </w:tr>
      <w:tr>
        <w:tc>
          <w:tcPr>
            <w:tcW w:type="dxa" w:w="2160"/>
          </w:tcPr>
          <w:p>
            <w:r>
              <w:rPr>
                <w:sz w:val="18"/>
              </w:rPr>
              <w:t>Country Risk Premium</w:t>
            </w:r>
          </w:p>
        </w:tc>
        <w:tc>
          <w:tcPr>
            <w:tcW w:type="dxa" w:w="2160"/>
          </w:tcPr>
          <w:p>
            <w:r>
              <w:rPr>
                <w:sz w:val="18"/>
              </w:rPr>
              <w:t>0%</w:t>
            </w:r>
          </w:p>
        </w:tc>
        <w:tc>
          <w:tcPr>
            <w:tcW w:type="dxa" w:w="2160"/>
          </w:tcPr>
          <w:p>
            <w:r>
              <w:rPr>
                <w:sz w:val="18"/>
              </w:rPr>
              <w:t>7.5% (Method B only)</w:t>
            </w:r>
          </w:p>
        </w:tc>
        <w:tc>
          <w:tcPr>
            <w:tcW w:type="dxa" w:w="2160"/>
          </w:tcPr>
          <w:p>
            <w:r>
              <w:rPr>
                <w:sz w:val="18"/>
              </w:rPr>
              <w:t>Damodaran Egypt CRP</w:t>
            </w:r>
          </w:p>
        </w:tc>
      </w:tr>
      <w:tr>
        <w:tc>
          <w:tcPr>
            <w:tcW w:type="dxa" w:w="2160"/>
          </w:tcPr>
          <w:p>
            <w:r>
              <w:rPr>
                <w:sz w:val="18"/>
              </w:rPr>
              <w:t>Terminal Growth</w:t>
            </w:r>
          </w:p>
        </w:tc>
        <w:tc>
          <w:tcPr>
            <w:tcW w:type="dxa" w:w="2160"/>
          </w:tcPr>
          <w:p>
            <w:r>
              <w:rPr>
                <w:sz w:val="18"/>
              </w:rPr>
              <w:t>2.5%</w:t>
            </w:r>
          </w:p>
        </w:tc>
        <w:tc>
          <w:tcPr>
            <w:tcW w:type="dxa" w:w="2160"/>
          </w:tcPr>
          <w:p>
            <w:r>
              <w:rPr>
                <w:sz w:val="18"/>
              </w:rPr>
              <w:t>8.0%</w:t>
            </w:r>
          </w:p>
        </w:tc>
        <w:tc>
          <w:tcPr>
            <w:tcW w:type="dxa" w:w="2160"/>
          </w:tcPr>
          <w:p>
            <w:r>
              <w:rPr>
                <w:sz w:val="18"/>
              </w:rPr>
              <w:t>Nominal GDP proxy</w:t>
            </w:r>
          </w:p>
        </w:tc>
      </w:tr>
      <w:tr>
        <w:tc>
          <w:tcPr>
            <w:tcW w:type="dxa" w:w="2160"/>
          </w:tcPr>
          <w:p>
            <w:r>
              <w:rPr>
                <w:sz w:val="18"/>
              </w:rPr>
              <w:t>Max Terminal Growth</w:t>
            </w:r>
          </w:p>
        </w:tc>
        <w:tc>
          <w:tcPr>
            <w:tcW w:type="dxa" w:w="2160"/>
          </w:tcPr>
          <w:p>
            <w:r>
              <w:rPr>
                <w:sz w:val="18"/>
              </w:rPr>
              <w:t>4.0%</w:t>
            </w:r>
          </w:p>
        </w:tc>
        <w:tc>
          <w:tcPr>
            <w:tcW w:type="dxa" w:w="2160"/>
          </w:tcPr>
          <w:p>
            <w:r>
              <w:rPr>
                <w:sz w:val="18"/>
              </w:rPr>
              <w:t>12.0%</w:t>
            </w:r>
          </w:p>
        </w:tc>
        <w:tc>
          <w:tcPr>
            <w:tcW w:type="dxa" w:w="2160"/>
          </w:tcPr>
          <w:p>
            <w:r>
              <w:rPr>
                <w:sz w:val="18"/>
              </w:rPr>
              <w:t>Sustainable cap</w:t>
            </w:r>
          </w:p>
        </w:tc>
      </w:tr>
      <w:tr>
        <w:tc>
          <w:tcPr>
            <w:tcW w:type="dxa" w:w="2160"/>
          </w:tcPr>
          <w:p>
            <w:r>
              <w:rPr>
                <w:sz w:val="18"/>
              </w:rPr>
              <w:t>Default Tax Rate</w:t>
            </w:r>
          </w:p>
        </w:tc>
        <w:tc>
          <w:tcPr>
            <w:tcW w:type="dxa" w:w="2160"/>
          </w:tcPr>
          <w:p>
            <w:r>
              <w:rPr>
                <w:sz w:val="18"/>
              </w:rPr>
              <w:t>21.0%</w:t>
            </w:r>
          </w:p>
        </w:tc>
        <w:tc>
          <w:tcPr>
            <w:tcW w:type="dxa" w:w="2160"/>
          </w:tcPr>
          <w:p>
            <w:r>
              <w:rPr>
                <w:sz w:val="18"/>
              </w:rPr>
              <w:t>22.5%</w:t>
            </w:r>
          </w:p>
        </w:tc>
        <w:tc>
          <w:tcPr>
            <w:tcW w:type="dxa" w:w="2160"/>
          </w:tcPr>
          <w:p>
            <w:r>
              <w:rPr>
                <w:sz w:val="18"/>
              </w:rPr>
              <w:t>Statutory corporate tax</w:t>
            </w:r>
          </w:p>
        </w:tc>
      </w:tr>
      <w:tr>
        <w:tc>
          <w:tcPr>
            <w:tcW w:type="dxa" w:w="2160"/>
          </w:tcPr>
          <w:p>
            <w:r>
              <w:rPr>
                <w:sz w:val="18"/>
              </w:rPr>
              <w:t>Currency</w:t>
            </w:r>
          </w:p>
        </w:tc>
        <w:tc>
          <w:tcPr>
            <w:tcW w:type="dxa" w:w="2160"/>
          </w:tcPr>
          <w:p>
            <w:r>
              <w:rPr>
                <w:sz w:val="18"/>
              </w:rPr>
              <w:t>USD ($)</w:t>
            </w:r>
          </w:p>
        </w:tc>
        <w:tc>
          <w:tcPr>
            <w:tcW w:type="dxa" w:w="2160"/>
          </w:tcPr>
          <w:p>
            <w:r>
              <w:rPr>
                <w:sz w:val="18"/>
              </w:rPr>
              <w:t>EGP</w:t>
            </w:r>
          </w:p>
        </w:tc>
        <w:tc>
          <w:tcPr>
            <w:tcW w:type="dxa" w:w="2160"/>
          </w:tcPr>
          <w:p>
            <w:r>
              <w:rPr>
                <w:sz w:val="18"/>
              </w:rPr>
              <w:t>—</w:t>
            </w:r>
          </w:p>
        </w:tc>
      </w:tr>
      <w:tr>
        <w:tc>
          <w:tcPr>
            <w:tcW w:type="dxa" w:w="2160"/>
          </w:tcPr>
          <w:p>
            <w:r>
              <w:rPr>
                <w:sz w:val="18"/>
              </w:rPr>
              <w:t>CBE Benchmark Rate</w:t>
            </w:r>
          </w:p>
        </w:tc>
        <w:tc>
          <w:tcPr>
            <w:tcW w:type="dxa" w:w="2160"/>
          </w:tcPr>
          <w:p>
            <w:r>
              <w:rPr>
                <w:sz w:val="18"/>
              </w:rPr>
              <w:t>N/A</w:t>
            </w:r>
          </w:p>
        </w:tc>
        <w:tc>
          <w:tcPr>
            <w:tcW w:type="dxa" w:w="2160"/>
          </w:tcPr>
          <w:p>
            <w:r>
              <w:rPr>
                <w:sz w:val="18"/>
              </w:rPr>
              <w:t>27.25%</w:t>
            </w:r>
          </w:p>
        </w:tc>
        <w:tc>
          <w:tcPr>
            <w:tcW w:type="dxa" w:w="2160"/>
          </w:tcPr>
          <w:p>
            <w:r>
              <w:rPr>
                <w:sz w:val="18"/>
              </w:rPr>
              <w:t>CBE overnight lending corridor</w:t>
            </w:r>
          </w:p>
        </w:tc>
      </w:tr>
      <w:tr>
        <w:tc>
          <w:tcPr>
            <w:tcW w:type="dxa" w:w="2160"/>
          </w:tcPr>
          <w:p>
            <w:r>
              <w:rPr>
                <w:sz w:val="18"/>
              </w:rPr>
              <w:t>Dividend WHT</w:t>
            </w:r>
          </w:p>
        </w:tc>
        <w:tc>
          <w:tcPr>
            <w:tcW w:type="dxa" w:w="2160"/>
          </w:tcPr>
          <w:p>
            <w:r>
              <w:rPr>
                <w:sz w:val="18"/>
              </w:rPr>
              <w:t>N/A</w:t>
            </w:r>
          </w:p>
        </w:tc>
        <w:tc>
          <w:tcPr>
            <w:tcW w:type="dxa" w:w="2160"/>
          </w:tcPr>
          <w:p>
            <w:r>
              <w:rPr>
                <w:sz w:val="18"/>
              </w:rPr>
              <w:t>10%</w:t>
            </w:r>
          </w:p>
        </w:tc>
        <w:tc>
          <w:tcPr>
            <w:tcW w:type="dxa" w:w="2160"/>
          </w:tcPr>
          <w:p>
            <w:r>
              <w:rPr>
                <w:sz w:val="18"/>
              </w:rPr>
              <w:t>Article 46 bis</w:t>
            </w:r>
          </w:p>
        </w:tc>
      </w:tr>
      <w:tr>
        <w:tc>
          <w:tcPr>
            <w:tcW w:type="dxa" w:w="2160"/>
          </w:tcPr>
          <w:p>
            <w:r>
              <w:rPr>
                <w:sz w:val="18"/>
              </w:rPr>
              <w:t>Capital Gains Tax</w:t>
            </w:r>
          </w:p>
        </w:tc>
        <w:tc>
          <w:tcPr>
            <w:tcW w:type="dxa" w:w="2160"/>
          </w:tcPr>
          <w:p>
            <w:r>
              <w:rPr>
                <w:sz w:val="18"/>
              </w:rPr>
              <w:t>N/A</w:t>
            </w:r>
          </w:p>
        </w:tc>
        <w:tc>
          <w:tcPr>
            <w:tcW w:type="dxa" w:w="2160"/>
          </w:tcPr>
          <w:p>
            <w:r>
              <w:rPr>
                <w:sz w:val="18"/>
              </w:rPr>
              <w:t>10%</w:t>
            </w:r>
          </w:p>
        </w:tc>
        <w:tc>
          <w:tcPr>
            <w:tcW w:type="dxa" w:w="2160"/>
          </w:tcPr>
          <w:p>
            <w:r>
              <w:rPr>
                <w:sz w:val="18"/>
              </w:rPr>
              <w:t>On listed securities</w:t>
            </w:r>
          </w:p>
        </w:tc>
      </w:tr>
    </w:tbl>
    <w:p/>
    <w:p>
      <w:pPr>
        <w:pStyle w:val="Heading2"/>
      </w:pPr>
      <w:r>
        <w:t>Egyptian Tax Categories (Law 91/2005)</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Category</w:t>
            </w:r>
          </w:p>
        </w:tc>
        <w:tc>
          <w:tcPr>
            <w:tcW w:type="dxa" w:w="2880"/>
          </w:tcPr>
          <w:p>
            <w:r>
              <w:rPr>
                <w:b/>
                <w:sz w:val="18"/>
              </w:rPr>
              <w:t>Rate</w:t>
            </w:r>
          </w:p>
        </w:tc>
        <w:tc>
          <w:tcPr>
            <w:tcW w:type="dxa" w:w="2880"/>
          </w:tcPr>
          <w:p>
            <w:r>
              <w:rPr>
                <w:b/>
                <w:sz w:val="18"/>
              </w:rPr>
              <w:t>Applies To</w:t>
            </w:r>
          </w:p>
        </w:tc>
      </w:tr>
      <w:tr>
        <w:tc>
          <w:tcPr>
            <w:tcW w:type="dxa" w:w="2880"/>
          </w:tcPr>
          <w:p>
            <w:r>
              <w:rPr>
                <w:sz w:val="18"/>
              </w:rPr>
              <w:t>Standard (DEFAULT)</w:t>
            </w:r>
          </w:p>
        </w:tc>
        <w:tc>
          <w:tcPr>
            <w:tcW w:type="dxa" w:w="2880"/>
          </w:tcPr>
          <w:p>
            <w:r>
              <w:rPr>
                <w:sz w:val="18"/>
              </w:rPr>
              <w:t>22.5%</w:t>
            </w:r>
          </w:p>
        </w:tc>
        <w:tc>
          <w:tcPr>
            <w:tcW w:type="dxa" w:w="2880"/>
          </w:tcPr>
          <w:p>
            <w:r>
              <w:rPr>
                <w:sz w:val="18"/>
              </w:rPr>
              <w:t>Most Egyptian companies</w:t>
            </w:r>
          </w:p>
        </w:tc>
      </w:tr>
      <w:tr>
        <w:tc>
          <w:tcPr>
            <w:tcW w:type="dxa" w:w="2880"/>
          </w:tcPr>
          <w:p>
            <w:r>
              <w:rPr>
                <w:sz w:val="18"/>
              </w:rPr>
              <w:t>Industrial Zone</w:t>
            </w:r>
          </w:p>
        </w:tc>
        <w:tc>
          <w:tcPr>
            <w:tcW w:type="dxa" w:w="2880"/>
          </w:tcPr>
          <w:p>
            <w:r>
              <w:rPr>
                <w:sz w:val="18"/>
              </w:rPr>
              <w:t>0% (5 years)</w:t>
            </w:r>
          </w:p>
        </w:tc>
        <w:tc>
          <w:tcPr>
            <w:tcW w:type="dxa" w:w="2880"/>
          </w:tcPr>
          <w:p>
            <w:r>
              <w:rPr>
                <w:sz w:val="18"/>
              </w:rPr>
              <w:t>Industrial free zone — reverts to 22.5%</w:t>
            </w:r>
          </w:p>
        </w:tc>
      </w:tr>
      <w:tr>
        <w:tc>
          <w:tcPr>
            <w:tcW w:type="dxa" w:w="2880"/>
          </w:tcPr>
          <w:p>
            <w:r>
              <w:rPr>
                <w:sz w:val="18"/>
              </w:rPr>
              <w:t>Oil &amp; Gas</w:t>
            </w:r>
          </w:p>
        </w:tc>
        <w:tc>
          <w:tcPr>
            <w:tcW w:type="dxa" w:w="2880"/>
          </w:tcPr>
          <w:p>
            <w:r>
              <w:rPr>
                <w:sz w:val="18"/>
              </w:rPr>
              <w:t>40.55%</w:t>
            </w:r>
          </w:p>
        </w:tc>
        <w:tc>
          <w:tcPr>
            <w:tcW w:type="dxa" w:w="2880"/>
          </w:tcPr>
          <w:p>
            <w:r>
              <w:rPr>
                <w:sz w:val="18"/>
              </w:rPr>
              <w:t>Petroleum sector companies</w:t>
            </w:r>
          </w:p>
        </w:tc>
      </w:tr>
      <w:tr>
        <w:tc>
          <w:tcPr>
            <w:tcW w:type="dxa" w:w="2880"/>
          </w:tcPr>
          <w:p>
            <w:r>
              <w:rPr>
                <w:sz w:val="18"/>
              </w:rPr>
              <w:t>Suez Canal / EGPC / CBE</w:t>
            </w:r>
          </w:p>
        </w:tc>
        <w:tc>
          <w:tcPr>
            <w:tcW w:type="dxa" w:w="2880"/>
          </w:tcPr>
          <w:p>
            <w:r>
              <w:rPr>
                <w:sz w:val="18"/>
              </w:rPr>
              <w:t>40.0%</w:t>
            </w:r>
          </w:p>
        </w:tc>
        <w:tc>
          <w:tcPr>
            <w:tcW w:type="dxa" w:w="2880"/>
          </w:tcPr>
          <w:p>
            <w:r>
              <w:rPr>
                <w:sz w:val="18"/>
              </w:rPr>
              <w:t>Specific state entities</w:t>
            </w:r>
          </w:p>
        </w:tc>
      </w:tr>
      <w:tr>
        <w:tc>
          <w:tcPr>
            <w:tcW w:type="dxa" w:w="2880"/>
          </w:tcPr>
          <w:p>
            <w:r>
              <w:rPr>
                <w:sz w:val="18"/>
              </w:rPr>
              <w:t>Free Zone (Export)</w:t>
            </w:r>
          </w:p>
        </w:tc>
        <w:tc>
          <w:tcPr>
            <w:tcW w:type="dxa" w:w="2880"/>
          </w:tcPr>
          <w:p>
            <w:r>
              <w:rPr>
                <w:sz w:val="18"/>
              </w:rPr>
              <w:t>0%</w:t>
            </w:r>
          </w:p>
        </w:tc>
        <w:tc>
          <w:tcPr>
            <w:tcW w:type="dxa" w:w="2880"/>
          </w:tcPr>
          <w:p>
            <w:r>
              <w:rPr>
                <w:sz w:val="18"/>
              </w:rPr>
              <w:t>Free economic zone exports</w:t>
            </w:r>
          </w:p>
        </w:tc>
      </w:tr>
      <w:tr>
        <w:tc>
          <w:tcPr>
            <w:tcW w:type="dxa" w:w="2880"/>
          </w:tcPr>
          <w:p>
            <w:r>
              <w:rPr>
                <w:sz w:val="18"/>
              </w:rPr>
              <w:t>Custom</w:t>
            </w:r>
          </w:p>
        </w:tc>
        <w:tc>
          <w:tcPr>
            <w:tcW w:type="dxa" w:w="2880"/>
          </w:tcPr>
          <w:p>
            <w:r>
              <w:rPr>
                <w:sz w:val="18"/>
              </w:rPr>
              <w:t>User-defined</w:t>
            </w:r>
          </w:p>
        </w:tc>
        <w:tc>
          <w:tcPr>
            <w:tcW w:type="dxa" w:w="2880"/>
          </w:tcPr>
          <w:p>
            <w:r>
              <w:rPr>
                <w:sz w:val="18"/>
              </w:rPr>
              <w:t>Any special case</w:t>
            </w:r>
          </w:p>
        </w:tc>
      </w:tr>
    </w:tbl>
    <w:p/>
    <w:p>
      <w:pPr>
        <w:pStyle w:val="Heading2"/>
      </w:pPr>
      <w:r>
        <w:t>Egyptian Industry Multiples (EGX Defaults)</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Sector</w:t>
            </w:r>
          </w:p>
        </w:tc>
        <w:tc>
          <w:tcPr>
            <w:tcW w:type="dxa" w:w="1728"/>
          </w:tcPr>
          <w:p>
            <w:r>
              <w:rPr>
                <w:b/>
                <w:sz w:val="18"/>
              </w:rPr>
              <w:t>P/E</w:t>
            </w:r>
          </w:p>
        </w:tc>
        <w:tc>
          <w:tcPr>
            <w:tcW w:type="dxa" w:w="1728"/>
          </w:tcPr>
          <w:p>
            <w:r>
              <w:rPr>
                <w:b/>
                <w:sz w:val="18"/>
              </w:rPr>
              <w:t>EV/EBITDA</w:t>
            </w:r>
          </w:p>
        </w:tc>
        <w:tc>
          <w:tcPr>
            <w:tcW w:type="dxa" w:w="1728"/>
          </w:tcPr>
          <w:p>
            <w:r>
              <w:rPr>
                <w:b/>
                <w:sz w:val="18"/>
              </w:rPr>
              <w:t>P/S</w:t>
            </w:r>
          </w:p>
        </w:tc>
        <w:tc>
          <w:tcPr>
            <w:tcW w:type="dxa" w:w="1728"/>
          </w:tcPr>
          <w:p>
            <w:r>
              <w:rPr>
                <w:b/>
                <w:sz w:val="18"/>
              </w:rPr>
              <w:t>P/B</w:t>
            </w:r>
          </w:p>
        </w:tc>
      </w:tr>
      <w:tr>
        <w:tc>
          <w:tcPr>
            <w:tcW w:type="dxa" w:w="1728"/>
          </w:tcPr>
          <w:p>
            <w:r>
              <w:rPr>
                <w:sz w:val="18"/>
              </w:rPr>
              <w:t>Banking</w:t>
            </w:r>
          </w:p>
        </w:tc>
        <w:tc>
          <w:tcPr>
            <w:tcW w:type="dxa" w:w="1728"/>
          </w:tcPr>
          <w:p>
            <w:r>
              <w:rPr>
                <w:sz w:val="18"/>
              </w:rPr>
              <w:t>5.5x</w:t>
            </w:r>
          </w:p>
        </w:tc>
        <w:tc>
          <w:tcPr>
            <w:tcW w:type="dxa" w:w="1728"/>
          </w:tcPr>
          <w:p>
            <w:r>
              <w:rPr>
                <w:sz w:val="18"/>
              </w:rPr>
              <w:t>N/A</w:t>
            </w:r>
          </w:p>
        </w:tc>
        <w:tc>
          <w:tcPr>
            <w:tcW w:type="dxa" w:w="1728"/>
          </w:tcPr>
          <w:p>
            <w:r>
              <w:rPr>
                <w:sz w:val="18"/>
              </w:rPr>
              <w:t>2.0x</w:t>
            </w:r>
          </w:p>
        </w:tc>
        <w:tc>
          <w:tcPr>
            <w:tcW w:type="dxa" w:w="1728"/>
          </w:tcPr>
          <w:p>
            <w:r>
              <w:rPr>
                <w:sz w:val="18"/>
              </w:rPr>
              <w:t>1.0x</w:t>
            </w:r>
          </w:p>
        </w:tc>
      </w:tr>
      <w:tr>
        <w:tc>
          <w:tcPr>
            <w:tcW w:type="dxa" w:w="1728"/>
          </w:tcPr>
          <w:p>
            <w:r>
              <w:rPr>
                <w:sz w:val="18"/>
              </w:rPr>
              <w:t>Real Estate</w:t>
            </w:r>
          </w:p>
        </w:tc>
        <w:tc>
          <w:tcPr>
            <w:tcW w:type="dxa" w:w="1728"/>
          </w:tcPr>
          <w:p>
            <w:r>
              <w:rPr>
                <w:sz w:val="18"/>
              </w:rPr>
              <w:t>8.0x</w:t>
            </w:r>
          </w:p>
        </w:tc>
        <w:tc>
          <w:tcPr>
            <w:tcW w:type="dxa" w:w="1728"/>
          </w:tcPr>
          <w:p>
            <w:r>
              <w:rPr>
                <w:sz w:val="18"/>
              </w:rPr>
              <w:t>7.0x</w:t>
            </w:r>
          </w:p>
        </w:tc>
        <w:tc>
          <w:tcPr>
            <w:tcW w:type="dxa" w:w="1728"/>
          </w:tcPr>
          <w:p>
            <w:r>
              <w:rPr>
                <w:sz w:val="18"/>
              </w:rPr>
              <w:t>1.5x</w:t>
            </w:r>
          </w:p>
        </w:tc>
        <w:tc>
          <w:tcPr>
            <w:tcW w:type="dxa" w:w="1728"/>
          </w:tcPr>
          <w:p>
            <w:r>
              <w:rPr>
                <w:sz w:val="18"/>
              </w:rPr>
              <w:t>0.8x</w:t>
            </w:r>
          </w:p>
        </w:tc>
      </w:tr>
      <w:tr>
        <w:tc>
          <w:tcPr>
            <w:tcW w:type="dxa" w:w="1728"/>
          </w:tcPr>
          <w:p>
            <w:r>
              <w:rPr>
                <w:sz w:val="18"/>
              </w:rPr>
              <w:t>Telecom</w:t>
            </w:r>
          </w:p>
        </w:tc>
        <w:tc>
          <w:tcPr>
            <w:tcW w:type="dxa" w:w="1728"/>
          </w:tcPr>
          <w:p>
            <w:r>
              <w:rPr>
                <w:sz w:val="18"/>
              </w:rPr>
              <w:t>12.0x</w:t>
            </w:r>
          </w:p>
        </w:tc>
        <w:tc>
          <w:tcPr>
            <w:tcW w:type="dxa" w:w="1728"/>
          </w:tcPr>
          <w:p>
            <w:r>
              <w:rPr>
                <w:sz w:val="18"/>
              </w:rPr>
              <w:t>6.0x</w:t>
            </w:r>
          </w:p>
        </w:tc>
        <w:tc>
          <w:tcPr>
            <w:tcW w:type="dxa" w:w="1728"/>
          </w:tcPr>
          <w:p>
            <w:r>
              <w:rPr>
                <w:sz w:val="18"/>
              </w:rPr>
              <w:t>1.8x</w:t>
            </w:r>
          </w:p>
        </w:tc>
        <w:tc>
          <w:tcPr>
            <w:tcW w:type="dxa" w:w="1728"/>
          </w:tcPr>
          <w:p>
            <w:r>
              <w:rPr>
                <w:sz w:val="18"/>
              </w:rPr>
              <w:t>2.0x</w:t>
            </w:r>
          </w:p>
        </w:tc>
      </w:tr>
      <w:tr>
        <w:tc>
          <w:tcPr>
            <w:tcW w:type="dxa" w:w="1728"/>
          </w:tcPr>
          <w:p>
            <w:r>
              <w:rPr>
                <w:sz w:val="18"/>
              </w:rPr>
              <w:t>Consumer/FMCG</w:t>
            </w:r>
          </w:p>
        </w:tc>
        <w:tc>
          <w:tcPr>
            <w:tcW w:type="dxa" w:w="1728"/>
          </w:tcPr>
          <w:p>
            <w:r>
              <w:rPr>
                <w:sz w:val="18"/>
              </w:rPr>
              <w:t>15.0x</w:t>
            </w:r>
          </w:p>
        </w:tc>
        <w:tc>
          <w:tcPr>
            <w:tcW w:type="dxa" w:w="1728"/>
          </w:tcPr>
          <w:p>
            <w:r>
              <w:rPr>
                <w:sz w:val="18"/>
              </w:rPr>
              <w:t>8.0x</w:t>
            </w:r>
          </w:p>
        </w:tc>
        <w:tc>
          <w:tcPr>
            <w:tcW w:type="dxa" w:w="1728"/>
          </w:tcPr>
          <w:p>
            <w:r>
              <w:rPr>
                <w:sz w:val="18"/>
              </w:rPr>
              <w:t>1.0x</w:t>
            </w:r>
          </w:p>
        </w:tc>
        <w:tc>
          <w:tcPr>
            <w:tcW w:type="dxa" w:w="1728"/>
          </w:tcPr>
          <w:p>
            <w:r>
              <w:rPr>
                <w:sz w:val="18"/>
              </w:rPr>
              <w:t>2.5x</w:t>
            </w:r>
          </w:p>
        </w:tc>
      </w:tr>
      <w:tr>
        <w:tc>
          <w:tcPr>
            <w:tcW w:type="dxa" w:w="1728"/>
          </w:tcPr>
          <w:p>
            <w:r>
              <w:rPr>
                <w:sz w:val="18"/>
              </w:rPr>
              <w:t>Industrial</w:t>
            </w:r>
          </w:p>
        </w:tc>
        <w:tc>
          <w:tcPr>
            <w:tcW w:type="dxa" w:w="1728"/>
          </w:tcPr>
          <w:p>
            <w:r>
              <w:rPr>
                <w:sz w:val="18"/>
              </w:rPr>
              <w:t>7.0x</w:t>
            </w:r>
          </w:p>
        </w:tc>
        <w:tc>
          <w:tcPr>
            <w:tcW w:type="dxa" w:w="1728"/>
          </w:tcPr>
          <w:p>
            <w:r>
              <w:rPr>
                <w:sz w:val="18"/>
              </w:rPr>
              <w:t>5.0x</w:t>
            </w:r>
          </w:p>
        </w:tc>
        <w:tc>
          <w:tcPr>
            <w:tcW w:type="dxa" w:w="1728"/>
          </w:tcPr>
          <w:p>
            <w:r>
              <w:rPr>
                <w:sz w:val="18"/>
              </w:rPr>
              <w:t>0.8x</w:t>
            </w:r>
          </w:p>
        </w:tc>
        <w:tc>
          <w:tcPr>
            <w:tcW w:type="dxa" w:w="1728"/>
          </w:tcPr>
          <w:p>
            <w:r>
              <w:rPr>
                <w:sz w:val="18"/>
              </w:rPr>
              <w:t>1.2x</w:t>
            </w:r>
          </w:p>
        </w:tc>
      </w:tr>
      <w:tr>
        <w:tc>
          <w:tcPr>
            <w:tcW w:type="dxa" w:w="1728"/>
          </w:tcPr>
          <w:p>
            <w:r>
              <w:rPr>
                <w:sz w:val="18"/>
              </w:rPr>
              <w:t>Healthcare</w:t>
            </w:r>
          </w:p>
        </w:tc>
        <w:tc>
          <w:tcPr>
            <w:tcW w:type="dxa" w:w="1728"/>
          </w:tcPr>
          <w:p>
            <w:r>
              <w:rPr>
                <w:sz w:val="18"/>
              </w:rPr>
              <w:t>18.0x</w:t>
            </w:r>
          </w:p>
        </w:tc>
        <w:tc>
          <w:tcPr>
            <w:tcW w:type="dxa" w:w="1728"/>
          </w:tcPr>
          <w:p>
            <w:r>
              <w:rPr>
                <w:sz w:val="18"/>
              </w:rPr>
              <w:t>10.0x</w:t>
            </w:r>
          </w:p>
        </w:tc>
        <w:tc>
          <w:tcPr>
            <w:tcW w:type="dxa" w:w="1728"/>
          </w:tcPr>
          <w:p>
            <w:r>
              <w:rPr>
                <w:sz w:val="18"/>
              </w:rPr>
              <w:t>2.0x</w:t>
            </w:r>
          </w:p>
        </w:tc>
        <w:tc>
          <w:tcPr>
            <w:tcW w:type="dxa" w:w="1728"/>
          </w:tcPr>
          <w:p>
            <w:r>
              <w:rPr>
                <w:sz w:val="18"/>
              </w:rPr>
              <w:t>3.0x</w:t>
            </w:r>
          </w:p>
        </w:tc>
      </w:tr>
      <w:tr>
        <w:tc>
          <w:tcPr>
            <w:tcW w:type="dxa" w:w="1728"/>
          </w:tcPr>
          <w:p>
            <w:r>
              <w:rPr>
                <w:sz w:val="18"/>
              </w:rPr>
              <w:t>Energy</w:t>
            </w:r>
          </w:p>
        </w:tc>
        <w:tc>
          <w:tcPr>
            <w:tcW w:type="dxa" w:w="1728"/>
          </w:tcPr>
          <w:p>
            <w:r>
              <w:rPr>
                <w:sz w:val="18"/>
              </w:rPr>
              <w:t>6.0x</w:t>
            </w:r>
          </w:p>
        </w:tc>
        <w:tc>
          <w:tcPr>
            <w:tcW w:type="dxa" w:w="1728"/>
          </w:tcPr>
          <w:p>
            <w:r>
              <w:rPr>
                <w:sz w:val="18"/>
              </w:rPr>
              <w:t>4.5x</w:t>
            </w:r>
          </w:p>
        </w:tc>
        <w:tc>
          <w:tcPr>
            <w:tcW w:type="dxa" w:w="1728"/>
          </w:tcPr>
          <w:p>
            <w:r>
              <w:rPr>
                <w:sz w:val="18"/>
              </w:rPr>
              <w:t>0.6x</w:t>
            </w:r>
          </w:p>
        </w:tc>
        <w:tc>
          <w:tcPr>
            <w:tcW w:type="dxa" w:w="1728"/>
          </w:tcPr>
          <w:p>
            <w:r>
              <w:rPr>
                <w:sz w:val="18"/>
              </w:rPr>
              <w:t>1.0x</w:t>
            </w:r>
          </w:p>
        </w:tc>
      </w:tr>
      <w:tr>
        <w:tc>
          <w:tcPr>
            <w:tcW w:type="dxa" w:w="1728"/>
          </w:tcPr>
          <w:p>
            <w:r>
              <w:rPr>
                <w:sz w:val="18"/>
              </w:rPr>
              <w:t>EGX Market Average</w:t>
            </w:r>
          </w:p>
        </w:tc>
        <w:tc>
          <w:tcPr>
            <w:tcW w:type="dxa" w:w="1728"/>
          </w:tcPr>
          <w:p>
            <w:r>
              <w:rPr>
                <w:sz w:val="18"/>
              </w:rPr>
              <w:t>7.0x</w:t>
            </w:r>
          </w:p>
        </w:tc>
        <w:tc>
          <w:tcPr>
            <w:tcW w:type="dxa" w:w="1728"/>
          </w:tcPr>
          <w:p>
            <w:r>
              <w:rPr>
                <w:sz w:val="18"/>
              </w:rPr>
              <w:t>5.0x</w:t>
            </w:r>
          </w:p>
        </w:tc>
        <w:tc>
          <w:tcPr>
            <w:tcW w:type="dxa" w:w="1728"/>
          </w:tcPr>
          <w:p>
            <w:r>
              <w:rPr>
                <w:sz w:val="18"/>
              </w:rPr>
              <w:t>1.2x</w:t>
            </w:r>
          </w:p>
        </w:tc>
        <w:tc>
          <w:tcPr>
            <w:tcW w:type="dxa" w:w="1728"/>
          </w:tcPr>
          <w:p>
            <w:r>
              <w:rPr>
                <w:sz w:val="18"/>
              </w:rPr>
              <w:t>1.5x</w:t>
            </w:r>
          </w:p>
        </w:tc>
      </w:tr>
    </w:tbl>
    <w:p>
      <w:r>
        <w:br w:type="page"/>
      </w:r>
    </w:p>
    <w:p>
      <w:pPr>
        <w:pStyle w:val="Heading1"/>
      </w:pPr>
      <w:r>
        <w:t>5. WACC Calculation — Dual CAPM Methodology</w:t>
      </w:r>
    </w:p>
    <w:p>
      <w:r>
        <w:t>File: src/utils/valuationEngine.ts — calculateWACC(), calculateCostOfEquity()</w:t>
      </w:r>
    </w:p>
    <w:p>
      <w:r>
        <w:t>The WACC is always calculated from its components — never hard-coded. Capital structure weights use MARKET CAPITALIZATION (not book equity) per CFA best practices.</w:t>
      </w:r>
    </w:p>
    <w:p>
      <w:pPr>
        <w:pStyle w:val="Heading2"/>
      </w:pPr>
      <w:r>
        <w:t>Master Formula</w:t>
      </w:r>
    </w:p>
    <w:p>
      <w:pPr>
        <w:spacing w:before="80" w:after="80"/>
        <w:ind w:left="567"/>
      </w:pPr>
      <w:r>
        <w:rPr>
          <w:rFonts w:ascii="Consolas" w:hAnsi="Consolas"/>
          <w:color w:val="2D2D2D"/>
          <w:sz w:val="18"/>
        </w:rPr>
        <w:t>WACC = (E/V) × Ke + (D/V) × Kd × (1 − t)</w:t>
        <w:br/>
        <w:t>where V = E + D = Market Cap + Total Debt</w:t>
      </w:r>
    </w:p>
    <w:p>
      <w:pPr>
        <w:pStyle w:val="Heading2"/>
      </w:pPr>
      <w:r>
        <w:t>Method A — Local Currency CAPM (Default for EGP)</w:t>
      </w:r>
    </w:p>
    <w:p>
      <w:pPr>
        <w:spacing w:before="80" w:after="80"/>
        <w:ind w:left="567"/>
      </w:pPr>
      <w:r>
        <w:rPr>
          <w:rFonts w:ascii="Consolas" w:hAnsi="Consolas"/>
          <w:color w:val="2D2D2D"/>
          <w:sz w:val="18"/>
        </w:rPr>
        <w:t>Ke = Rf(Egypt) + β × Mature_Market_ERP</w:t>
        <w:br/>
        <w:t xml:space="preserve">   = 22.0% + β × 5.5%</w:t>
        <w:br/>
        <w:br/>
        <w:t>⚠️ NO Country Risk Premium — it is already embedded in the Egyptian Rf</w:t>
      </w:r>
    </w:p>
    <w:p>
      <w:r>
        <w:t>This is the default method. The Egyptian risk-free rate (10-year government bond) already incorporates sovereign risk, so adding CRP would double-count.</w:t>
      </w:r>
    </w:p>
    <w:p>
      <w:pPr>
        <w:pStyle w:val="Heading2"/>
      </w:pPr>
      <w:r>
        <w:t>Method B — USD Build-Up (Alternative)</w:t>
      </w:r>
    </w:p>
    <w:p>
      <w:pPr>
        <w:spacing w:before="80" w:after="80"/>
        <w:ind w:left="567"/>
      </w:pPr>
      <w:r>
        <w:rPr>
          <w:rFonts w:ascii="Consolas" w:hAnsi="Consolas"/>
          <w:color w:val="2D2D2D"/>
          <w:sz w:val="18"/>
        </w:rPr>
        <w:t>Ke(USD) = Rf(US) + β × Mature_ERP + CRP</w:t>
        <w:br/>
        <w:t xml:space="preserve">        = 4.5% + β × 5.5% + 7.5%</w:t>
        <w:br/>
        <w:br/>
        <w:t>Ke(EGP) = [(1 + Ke_USD) × (1 + Egypt_Inflation) / (1 + US_Inflation)] − 1</w:t>
        <w:br/>
        <w:t xml:space="preserve">        (Fisher equation for currency conversion)</w:t>
      </w:r>
    </w:p>
    <w:p>
      <w:pPr>
        <w:pStyle w:val="Heading2"/>
      </w:pPr>
      <w:r>
        <w:t>Beta Adjustments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Type</w:t>
            </w:r>
          </w:p>
        </w:tc>
        <w:tc>
          <w:tcPr>
            <w:tcW w:type="dxa" w:w="2880"/>
          </w:tcPr>
          <w:p>
            <w:r>
              <w:rPr>
                <w:b/>
                <w:sz w:val="18"/>
              </w:rPr>
              <w:t>Formula</w:t>
            </w:r>
          </w:p>
        </w:tc>
        <w:tc>
          <w:tcPr>
            <w:tcW w:type="dxa" w:w="2880"/>
          </w:tcPr>
          <w:p>
            <w:r>
              <w:rPr>
                <w:b/>
                <w:sz w:val="18"/>
              </w:rPr>
              <w:t>Use Case</w:t>
            </w:r>
          </w:p>
        </w:tc>
      </w:tr>
      <w:tr>
        <w:tc>
          <w:tcPr>
            <w:tcW w:type="dxa" w:w="2880"/>
          </w:tcPr>
          <w:p>
            <w:r>
              <w:rPr>
                <w:sz w:val="18"/>
              </w:rPr>
              <w:t>Raw</w:t>
            </w:r>
          </w:p>
        </w:tc>
        <w:tc>
          <w:tcPr>
            <w:tcW w:type="dxa" w:w="2880"/>
          </w:tcPr>
          <w:p>
            <w:r>
              <w:rPr>
                <w:sz w:val="18"/>
              </w:rPr>
              <w:t>β (as observed)</w:t>
            </w:r>
          </w:p>
        </w:tc>
        <w:tc>
          <w:tcPr>
            <w:tcW w:type="dxa" w:w="2880"/>
          </w:tcPr>
          <w:p>
            <w:r>
              <w:rPr>
                <w:sz w:val="18"/>
              </w:rPr>
              <w:t>Default — regression beta vs EGX 30 or S&amp;P 500</w:t>
            </w:r>
          </w:p>
        </w:tc>
      </w:tr>
      <w:tr>
        <w:tc>
          <w:tcPr>
            <w:tcW w:type="dxa" w:w="2880"/>
          </w:tcPr>
          <w:p>
            <w:r>
              <w:rPr>
                <w:sz w:val="18"/>
              </w:rPr>
              <w:t>Adjusted (Bloomberg)</w:t>
            </w:r>
          </w:p>
        </w:tc>
        <w:tc>
          <w:tcPr>
            <w:tcW w:type="dxa" w:w="2880"/>
          </w:tcPr>
          <w:p>
            <w:r>
              <w:rPr>
                <w:sz w:val="18"/>
              </w:rPr>
              <w:t>⅔ × Raw β + ⅓ × 1.0</w:t>
            </w:r>
          </w:p>
        </w:tc>
        <w:tc>
          <w:tcPr>
            <w:tcW w:type="dxa" w:w="2880"/>
          </w:tcPr>
          <w:p>
            <w:r>
              <w:rPr>
                <w:sz w:val="18"/>
              </w:rPr>
              <w:t>Mean-reversion adjustment</w:t>
            </w:r>
          </w:p>
        </w:tc>
      </w:tr>
      <w:tr>
        <w:tc>
          <w:tcPr>
            <w:tcW w:type="dxa" w:w="2880"/>
          </w:tcPr>
          <w:p>
            <w:r>
              <w:rPr>
                <w:sz w:val="18"/>
              </w:rPr>
              <w:t>Relevered</w:t>
            </w:r>
          </w:p>
        </w:tc>
        <w:tc>
          <w:tcPr>
            <w:tcW w:type="dxa" w:w="2880"/>
          </w:tcPr>
          <w:p>
            <w:r>
              <w:rPr>
                <w:sz w:val="18"/>
              </w:rPr>
              <w:t>βL = βU × [1 + (1−t) × (D/E)]</w:t>
            </w:r>
          </w:p>
        </w:tc>
        <w:tc>
          <w:tcPr>
            <w:tcW w:type="dxa" w:w="2880"/>
          </w:tcPr>
          <w:p>
            <w:r>
              <w:rPr>
                <w:sz w:val="18"/>
              </w:rPr>
              <w:t>Adjusting unlevered sector beta for company leverage</w:t>
            </w:r>
          </w:p>
        </w:tc>
      </w:tr>
    </w:tbl>
    <w:p>
      <w:pPr>
        <w:pStyle w:val="Heading2"/>
      </w:pPr>
      <w:r>
        <w:t>After-Tax Cost of Debt</w:t>
      </w:r>
    </w:p>
    <w:p>
      <w:pPr>
        <w:spacing w:before="80" w:after="80"/>
        <w:ind w:left="567"/>
      </w:pPr>
      <w:r>
        <w:rPr>
          <w:rFonts w:ascii="Consolas" w:hAnsi="Consolas"/>
          <w:color w:val="2D2D2D"/>
          <w:sz w:val="18"/>
        </w:rPr>
        <w:t>Kd(after-tax) = Kd(pre-tax) × (1 − t)</w:t>
        <w:br/>
        <w:t>Default Egypt: 20.0% × (1 − 0.225) = 15.5%</w:t>
      </w:r>
    </w:p>
    <w:p>
      <w:r>
        <w:br w:type="page"/>
      </w:r>
    </w:p>
    <w:p>
      <w:pPr>
        <w:pStyle w:val="Heading1"/>
      </w:pPr>
      <w:r>
        <w:t>6. FCFF Three-Way Cross-Verification</w:t>
      </w:r>
    </w:p>
    <w:p>
      <w:r>
        <w:t>File: src/utils/valuationEngine.ts — calculateFCFFVerification()</w:t>
      </w:r>
    </w:p>
    <w:p>
      <w:r>
        <w:t>All three methods MUST produce identical results within a tolerance of ±0.001. This is a hard integrity check.</w:t>
      </w:r>
    </w:p>
    <w:p>
      <w:pPr>
        <w:pStyle w:val="Heading2"/>
      </w:pPr>
      <w:r>
        <w:t>Three Methods</w:t>
      </w:r>
    </w:p>
    <w:p>
      <w:pPr>
        <w:spacing w:before="80" w:after="80"/>
        <w:ind w:left="567"/>
      </w:pPr>
      <w:r>
        <w:rPr>
          <w:rFonts w:ascii="Consolas" w:hAnsi="Consolas"/>
          <w:color w:val="2D2D2D"/>
          <w:sz w:val="18"/>
        </w:rPr>
        <w:t>Method 1 — NOPAT Route (Primary):</w:t>
        <w:br/>
        <w:t xml:space="preserve">  FCFF = EBIT × (1−t) + D&amp;A − CapEx − ΔWC</w:t>
        <w:br/>
        <w:br/>
        <w:t>Method 2 — EBITDA Route:</w:t>
        <w:br/>
        <w:t xml:space="preserve">  FCFF = EBITDA × (1−t) + D&amp;A × t − CapEx − ΔWC</w:t>
        <w:br/>
        <w:br/>
        <w:t>Method 3 — Net Income Route:</w:t>
        <w:br/>
        <w:t xml:space="preserve">  FCFF = Net Income + Interest × (1−t) + D&amp;A − CapEx − ΔWC</w:t>
      </w:r>
    </w:p>
    <w:p>
      <w:r>
        <w:rPr>
          <w:i/>
          <w:color w:val="666699"/>
        </w:rPr>
        <w:t>📌 FCFF must NEVER subtract Interest Expense directly. ΔWC increase = cash OUTFLOW (subtracted).</w:t>
      </w:r>
    </w:p>
    <w:p>
      <w:r>
        <w:br w:type="page"/>
      </w:r>
    </w:p>
    <w:p>
      <w:pPr>
        <w:pStyle w:val="Heading1"/>
      </w:pPr>
      <w:r>
        <w:t>7. DCF Projections &amp; Terminal Value</w:t>
      </w:r>
    </w:p>
    <w:p>
      <w:r>
        <w:t>File: src/utils/valuationEngine.ts — calculateDCFProjections(), calculateDCFValue()</w:t>
      </w:r>
    </w:p>
    <w:p>
      <w:pPr>
        <w:pStyle w:val="Heading2"/>
      </w:pPr>
      <w:r>
        <w:t>Year-by-Year Projection Chain</w:t>
      </w:r>
    </w:p>
    <w:p>
      <w:pPr>
        <w:spacing w:before="80" w:after="80"/>
        <w:ind w:left="567"/>
      </w:pPr>
      <w:r>
        <w:rPr>
          <w:rFonts w:ascii="Consolas" w:hAnsi="Consolas"/>
          <w:color w:val="2D2D2D"/>
          <w:sz w:val="18"/>
        </w:rPr>
        <w:t>For each year t = 1 to N (where N ∈ {3, 5, 7, 10}):</w:t>
        <w:br/>
        <w:t xml:space="preserve">  Revenue(t)  = Revenue(t-1) × (1 + Revenue_Growth)</w:t>
        <w:br/>
        <w:t xml:space="preserve">  EBITDA(t)   = Revenue(t) × EBITDA_Margin</w:t>
        <w:br/>
        <w:t xml:space="preserve">  D&amp;A(t)      = Revenue(t) × DA_Percent</w:t>
        <w:br/>
        <w:t xml:space="preserve">  EBIT(t)     = EBITDA(t) − D&amp;A(t)</w:t>
        <w:br/>
        <w:t xml:space="preserve">  NOPAT(t)    = EBIT(t) × (1 − Tax_Rate)</w:t>
        <w:br/>
        <w:t xml:space="preserve">  CapEx(t)    = Revenue(t) × CapEx_Percent</w:t>
        <w:br/>
        <w:t xml:space="preserve">  ΔWC(t)      = [Revenue(t) − Revenue(t-1)] × DeltaWC_Percent</w:t>
        <w:br/>
        <w:t xml:space="preserve">  FCFF(t)     = NOPAT(t) + D&amp;A(t) − CapEx(t) − ΔWC(t)</w:t>
      </w:r>
    </w:p>
    <w:p>
      <w:pPr>
        <w:pStyle w:val="Heading2"/>
      </w:pPr>
      <w:r>
        <w:t>Discounting Convention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Convention</w:t>
            </w:r>
          </w:p>
        </w:tc>
        <w:tc>
          <w:tcPr>
            <w:tcW w:type="dxa" w:w="2880"/>
          </w:tcPr>
          <w:p>
            <w:r>
              <w:rPr>
                <w:b/>
                <w:sz w:val="18"/>
              </w:rPr>
              <w:t>Discount Factor</w:t>
            </w:r>
          </w:p>
        </w:tc>
        <w:tc>
          <w:tcPr>
            <w:tcW w:type="dxa" w:w="2880"/>
          </w:tcPr>
          <w:p>
            <w:r>
              <w:rPr>
                <w:b/>
                <w:sz w:val="18"/>
              </w:rPr>
              <w:t>When to Use</w:t>
            </w:r>
          </w:p>
        </w:tc>
      </w:tr>
      <w:tr>
        <w:tc>
          <w:tcPr>
            <w:tcW w:type="dxa" w:w="2880"/>
          </w:tcPr>
          <w:p>
            <w:r>
              <w:rPr>
                <w:sz w:val="18"/>
              </w:rPr>
              <w:t>End-of-Year (default)</w:t>
            </w:r>
          </w:p>
        </w:tc>
        <w:tc>
          <w:tcPr>
            <w:tcW w:type="dxa" w:w="2880"/>
          </w:tcPr>
          <w:p>
            <w:r>
              <w:rPr>
                <w:sz w:val="18"/>
              </w:rPr>
              <w:t>(1 + WACC)^t</w:t>
            </w:r>
          </w:p>
        </w:tc>
        <w:tc>
          <w:tcPr>
            <w:tcW w:type="dxa" w:w="2880"/>
          </w:tcPr>
          <w:p>
            <w:r>
              <w:rPr>
                <w:sz w:val="18"/>
              </w:rPr>
              <w:t>Standard assumption — cash flows arrive at year end</w:t>
            </w:r>
          </w:p>
        </w:tc>
      </w:tr>
      <w:tr>
        <w:tc>
          <w:tcPr>
            <w:tcW w:type="dxa" w:w="2880"/>
          </w:tcPr>
          <w:p>
            <w:r>
              <w:rPr>
                <w:sz w:val="18"/>
              </w:rPr>
              <w:t>Mid-Year</w:t>
            </w:r>
          </w:p>
        </w:tc>
        <w:tc>
          <w:tcPr>
            <w:tcW w:type="dxa" w:w="2880"/>
          </w:tcPr>
          <w:p>
            <w:r>
              <w:rPr>
                <w:sz w:val="18"/>
              </w:rPr>
              <w:t>(1 + WACC)^(t − 0.5)</w:t>
            </w:r>
          </w:p>
        </w:tc>
        <w:tc>
          <w:tcPr>
            <w:tcW w:type="dxa" w:w="2880"/>
          </w:tcPr>
          <w:p>
            <w:r>
              <w:rPr>
                <w:sz w:val="18"/>
              </w:rPr>
              <w:t>Cash flows arrive evenly throughout the year (more accurate)</w:t>
            </w:r>
          </w:p>
        </w:tc>
      </w:tr>
    </w:tbl>
    <w:p>
      <w:pPr>
        <w:pStyle w:val="Heading2"/>
      </w:pPr>
      <w:r>
        <w:t>Terminal Value</w:t>
      </w:r>
    </w:p>
    <w:p>
      <w:pPr>
        <w:spacing w:before="80" w:after="80"/>
        <w:ind w:left="567"/>
      </w:pPr>
      <w:r>
        <w:rPr>
          <w:rFonts w:ascii="Consolas" w:hAnsi="Consolas"/>
          <w:color w:val="2D2D2D"/>
          <w:sz w:val="18"/>
        </w:rPr>
        <w:t>Gordon Growth (default):</w:t>
        <w:br/>
        <w:t xml:space="preserve">  TV = FCFF_N × (1 + g) / (WACC − g)</w:t>
        <w:br/>
        <w:t xml:space="preserve">  ⚠️ Hard requirement: g &lt; WACC (otherwise model returns 0)</w:t>
        <w:br/>
        <w:br/>
        <w:t>Exit Multiple:</w:t>
        <w:br/>
        <w:t xml:space="preserve">  TV = EBITDA_N × Exit_Multiple</w:t>
        <w:br/>
        <w:br/>
        <w:t>PV(TV) = TV / (1 + WACC)^N</w:t>
      </w:r>
    </w:p>
    <w:p>
      <w:r>
        <w:br w:type="page"/>
      </w:r>
    </w:p>
    <w:p>
      <w:pPr>
        <w:pStyle w:val="Heading1"/>
      </w:pPr>
      <w:r>
        <w:t>8. EV-to-Equity Bridge &amp; Intrinsic Value</w:t>
      </w:r>
    </w:p>
    <w:p>
      <w:pPr>
        <w:spacing w:before="80" w:after="80"/>
        <w:ind w:left="567"/>
      </w:pPr>
      <w:r>
        <w:rPr>
          <w:rFonts w:ascii="Consolas" w:hAnsi="Consolas"/>
          <w:color w:val="2D2D2D"/>
          <w:sz w:val="18"/>
        </w:rPr>
        <w:t>Enterprise Value = Σ PV(FCFF) + PV(Terminal Value)</w:t>
        <w:br/>
        <w:br/>
        <w:t>Equity Value = Enterprise Value − Total Debt + Cash</w:t>
        <w:br/>
        <w:t xml:space="preserve">             = EV − (Short-term Debt + Long-term Debt) + Cash &amp; Equivalents</w:t>
        <w:br/>
        <w:br/>
        <w:t>⚠️ NO MAX(0) floor — Equity Value CAN be negative for distressed companies</w:t>
        <w:br/>
        <w:br/>
        <w:t>Intrinsic Value per Share = Equity Value / Shares Outstanding</w:t>
      </w:r>
    </w:p>
    <w:p>
      <w:pPr>
        <w:pStyle w:val="Heading2"/>
      </w:pPr>
      <w:r>
        <w:t>Verdict Logic</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Verdict</w:t>
            </w:r>
          </w:p>
        </w:tc>
        <w:tc>
          <w:tcPr>
            <w:tcW w:type="dxa" w:w="2880"/>
          </w:tcPr>
          <w:p>
            <w:r>
              <w:rPr>
                <w:b/>
                <w:sz w:val="18"/>
              </w:rPr>
              <w:t>Condition</w:t>
            </w:r>
          </w:p>
        </w:tc>
        <w:tc>
          <w:tcPr>
            <w:tcW w:type="dxa" w:w="2880"/>
          </w:tcPr>
          <w:p>
            <w:r>
              <w:rPr>
                <w:b/>
                <w:sz w:val="18"/>
              </w:rPr>
              <w:t>Signal</w:t>
            </w:r>
          </w:p>
        </w:tc>
      </w:tr>
      <w:tr>
        <w:tc>
          <w:tcPr>
            <w:tcW w:type="dxa" w:w="2880"/>
          </w:tcPr>
          <w:p>
            <w:r>
              <w:rPr>
                <w:sz w:val="18"/>
              </w:rPr>
              <w:t>UNDERVALUED</w:t>
            </w:r>
          </w:p>
        </w:tc>
        <w:tc>
          <w:tcPr>
            <w:tcW w:type="dxa" w:w="2880"/>
          </w:tcPr>
          <w:p>
            <w:r>
              <w:rPr>
                <w:sz w:val="18"/>
              </w:rPr>
              <w:t>Intrinsic &gt; Market Price × 1.10</w:t>
            </w:r>
          </w:p>
        </w:tc>
        <w:tc>
          <w:tcPr>
            <w:tcW w:type="dxa" w:w="2880"/>
          </w:tcPr>
          <w:p>
            <w:r>
              <w:rPr>
                <w:sz w:val="18"/>
              </w:rPr>
              <w:t>&gt;10% upside</w:t>
            </w:r>
          </w:p>
        </w:tc>
      </w:tr>
      <w:tr>
        <w:tc>
          <w:tcPr>
            <w:tcW w:type="dxa" w:w="2880"/>
          </w:tcPr>
          <w:p>
            <w:r>
              <w:rPr>
                <w:sz w:val="18"/>
              </w:rPr>
              <w:t>FAIRLY VALUED</w:t>
            </w:r>
          </w:p>
        </w:tc>
        <w:tc>
          <w:tcPr>
            <w:tcW w:type="dxa" w:w="2880"/>
          </w:tcPr>
          <w:p>
            <w:r>
              <w:rPr>
                <w:sz w:val="18"/>
              </w:rPr>
              <w:t>0.90 × Market ≤ Intrinsic ≤ 1.10 × Market</w:t>
            </w:r>
          </w:p>
        </w:tc>
        <w:tc>
          <w:tcPr>
            <w:tcW w:type="dxa" w:w="2880"/>
          </w:tcPr>
          <w:p>
            <w:r>
              <w:rPr>
                <w:sz w:val="18"/>
              </w:rPr>
              <w:t>Within ±10% band</w:t>
            </w:r>
          </w:p>
        </w:tc>
      </w:tr>
      <w:tr>
        <w:tc>
          <w:tcPr>
            <w:tcW w:type="dxa" w:w="2880"/>
          </w:tcPr>
          <w:p>
            <w:r>
              <w:rPr>
                <w:sz w:val="18"/>
              </w:rPr>
              <w:t>OVERVALUED</w:t>
            </w:r>
          </w:p>
        </w:tc>
        <w:tc>
          <w:tcPr>
            <w:tcW w:type="dxa" w:w="2880"/>
          </w:tcPr>
          <w:p>
            <w:r>
              <w:rPr>
                <w:sz w:val="18"/>
              </w:rPr>
              <w:t>Intrinsic &lt; Market Price × 0.90</w:t>
            </w:r>
          </w:p>
        </w:tc>
        <w:tc>
          <w:tcPr>
            <w:tcW w:type="dxa" w:w="2880"/>
          </w:tcPr>
          <w:p>
            <w:r>
              <w:rPr>
                <w:sz w:val="18"/>
              </w:rPr>
              <w:t>&gt;10% downside</w:t>
            </w:r>
          </w:p>
        </w:tc>
      </w:tr>
    </w:tbl>
    <w:p>
      <w:pPr>
        <w:pStyle w:val="Heading1"/>
      </w:pPr>
      <w:r>
        <w:t>9. Dividend Discount Models (DDM)</w:t>
      </w:r>
    </w:p>
    <w:p>
      <w:r>
        <w:t>File: src/utils/valuationEngine.ts — calculateDDM()</w:t>
      </w:r>
    </w:p>
    <w:p>
      <w:r>
        <w:t>All DDM models discount at Ke (cost of equity), NOT WACC. DDM returns N/A if company pays no dividends or has negative earnings.</w:t>
      </w:r>
    </w:p>
    <w:p>
      <w:pPr>
        <w:pStyle w:val="Heading2"/>
      </w:pPr>
      <w:r>
        <w:t>Three DDM Variants</w:t>
      </w:r>
    </w:p>
    <w:p>
      <w:pPr>
        <w:spacing w:before="80" w:after="80"/>
        <w:ind w:left="567"/>
      </w:pPr>
      <w:r>
        <w:rPr>
          <w:rFonts w:ascii="Consolas" w:hAnsi="Consolas"/>
          <w:color w:val="2D2D2D"/>
          <w:sz w:val="18"/>
        </w:rPr>
        <w:t>9.1 Gordon Growth (Single-Stage):</w:t>
        <w:br/>
        <w:t xml:space="preserve">  P = D₀ × (1 + g) / (Ke − g) = D₁ / (Ke − g)</w:t>
        <w:br/>
        <w:br/>
        <w:t>9.2 Two-Stage DDM:</w:t>
        <w:br/>
        <w:t xml:space="preserve">  P = Σ[D₀(1+g₁)^t / (1+Ke)^t] for t=1..n</w:t>
        <w:br/>
        <w:t xml:space="preserve">    + [Dₙ(1+g₂)/(Ke−g₂)] / (1+Ke)^n</w:t>
        <w:br/>
        <w:br/>
        <w:t>9.3 H-Model:</w:t>
        <w:br/>
        <w:t xml:space="preserve">  P = D₀(1+gL)/(Ke−gL) + D₀×H×(gS−gL)/(Ke−gL)</w:t>
        <w:br/>
        <w:t xml:space="preserve">  where H = n/2 (half-life of high-growth period)</w:t>
      </w:r>
    </w:p>
    <w:p>
      <w:r>
        <w:br w:type="page"/>
      </w:r>
    </w:p>
    <w:p>
      <w:pPr>
        <w:pStyle w:val="Heading1"/>
      </w:pPr>
      <w:r>
        <w:t>10. Comparable Company Valuation</w:t>
      </w:r>
    </w:p>
    <w:p>
      <w:r>
        <w:t>File: src/utils/valuationEngine.ts — calculateComparableValue()</w:t>
      </w:r>
    </w:p>
    <w:p>
      <w:pPr>
        <w:pStyle w:val="Heading2"/>
      </w:pPr>
      <w:r>
        <w:t>Four Multiples Used</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Multiple</w:t>
            </w:r>
          </w:p>
        </w:tc>
        <w:tc>
          <w:tcPr>
            <w:tcW w:type="dxa" w:w="2880"/>
          </w:tcPr>
          <w:p>
            <w:r>
              <w:rPr>
                <w:b/>
                <w:sz w:val="18"/>
              </w:rPr>
              <w:t>Implied Price Formula</w:t>
            </w:r>
          </w:p>
        </w:tc>
        <w:tc>
          <w:tcPr>
            <w:tcW w:type="dxa" w:w="2880"/>
          </w:tcPr>
          <w:p>
            <w:r>
              <w:rPr>
                <w:b/>
                <w:sz w:val="18"/>
              </w:rPr>
              <w:t>Notes</w:t>
            </w:r>
          </w:p>
        </w:tc>
      </w:tr>
      <w:tr>
        <w:tc>
          <w:tcPr>
            <w:tcW w:type="dxa" w:w="2880"/>
          </w:tcPr>
          <w:p>
            <w:r>
              <w:rPr>
                <w:sz w:val="18"/>
              </w:rPr>
              <w:t>P/E</w:t>
            </w:r>
          </w:p>
        </w:tc>
        <w:tc>
          <w:tcPr>
            <w:tcW w:type="dxa" w:w="2880"/>
          </w:tcPr>
          <w:p>
            <w:r>
              <w:rPr>
                <w:sz w:val="18"/>
              </w:rPr>
              <w:t>EPS × Median Peer P/E</w:t>
            </w:r>
          </w:p>
        </w:tc>
        <w:tc>
          <w:tcPr>
            <w:tcW w:type="dxa" w:w="2880"/>
          </w:tcPr>
          <w:p>
            <w:r>
              <w:rPr>
                <w:sz w:val="18"/>
              </w:rPr>
              <w:t>Only positive EPS</w:t>
            </w:r>
          </w:p>
        </w:tc>
      </w:tr>
      <w:tr>
        <w:tc>
          <w:tcPr>
            <w:tcW w:type="dxa" w:w="2880"/>
          </w:tcPr>
          <w:p>
            <w:r>
              <w:rPr>
                <w:sz w:val="18"/>
              </w:rPr>
              <w:t>EV/EBITDA</w:t>
            </w:r>
          </w:p>
        </w:tc>
        <w:tc>
          <w:tcPr>
            <w:tcW w:type="dxa" w:w="2880"/>
          </w:tcPr>
          <w:p>
            <w:r>
              <w:rPr>
                <w:sz w:val="18"/>
              </w:rPr>
              <w:t>(EBITDA × Med. EV/EBITDA − Debt + Cash) / Shares</w:t>
            </w:r>
          </w:p>
        </w:tc>
        <w:tc>
          <w:tcPr>
            <w:tcW w:type="dxa" w:w="2880"/>
          </w:tcPr>
          <w:p>
            <w:r>
              <w:rPr>
                <w:sz w:val="18"/>
              </w:rPr>
              <w:t>Enterprise to equity bridge — no MAX(0) floor</w:t>
            </w:r>
          </w:p>
        </w:tc>
      </w:tr>
      <w:tr>
        <w:tc>
          <w:tcPr>
            <w:tcW w:type="dxa" w:w="2880"/>
          </w:tcPr>
          <w:p>
            <w:r>
              <w:rPr>
                <w:sz w:val="18"/>
              </w:rPr>
              <w:t>P/S</w:t>
            </w:r>
          </w:p>
        </w:tc>
        <w:tc>
          <w:tcPr>
            <w:tcW w:type="dxa" w:w="2880"/>
          </w:tcPr>
          <w:p>
            <w:r>
              <w:rPr>
                <w:sz w:val="18"/>
              </w:rPr>
              <w:t>Revenue/Share × Median P/S</w:t>
            </w:r>
          </w:p>
        </w:tc>
        <w:tc>
          <w:tcPr>
            <w:tcW w:type="dxa" w:w="2880"/>
          </w:tcPr>
          <w:p>
            <w:r>
              <w:rPr>
                <w:sz w:val="18"/>
              </w:rPr>
              <w:t>Useful for pre-profit companies</w:t>
            </w:r>
          </w:p>
        </w:tc>
      </w:tr>
      <w:tr>
        <w:tc>
          <w:tcPr>
            <w:tcW w:type="dxa" w:w="2880"/>
          </w:tcPr>
          <w:p>
            <w:r>
              <w:rPr>
                <w:sz w:val="18"/>
              </w:rPr>
              <w:t>P/B</w:t>
            </w:r>
          </w:p>
        </w:tc>
        <w:tc>
          <w:tcPr>
            <w:tcW w:type="dxa" w:w="2880"/>
          </w:tcPr>
          <w:p>
            <w:r>
              <w:rPr>
                <w:sz w:val="18"/>
              </w:rPr>
              <w:t>Book Value/Share × Median P/B</w:t>
            </w:r>
          </w:p>
        </w:tc>
        <w:tc>
          <w:tcPr>
            <w:tcW w:type="dxa" w:w="2880"/>
          </w:tcPr>
          <w:p>
            <w:r>
              <w:rPr>
                <w:sz w:val="18"/>
              </w:rPr>
              <w:t>Asset-intensive sectors</w:t>
            </w:r>
          </w:p>
        </w:tc>
      </w:tr>
    </w:tbl>
    <w:p>
      <w:r>
        <w:t>Peer companies can be sourced via FMP API auto-fetch or manually entered. Median (not mean) is used for robustness against outliers. Both US and Egyptian peer groups are pre-configured.</w:t>
      </w:r>
    </w:p>
    <w:p>
      <w:pPr>
        <w:pStyle w:val="Heading1"/>
      </w:pPr>
      <w:r>
        <w:t>11. Blended Valuation</w:t>
      </w:r>
    </w:p>
    <w:p>
      <w:pPr>
        <w:spacing w:before="80" w:after="80"/>
        <w:ind w:left="567"/>
      </w:pPr>
      <w:r>
        <w:rPr>
          <w:rFonts w:ascii="Consolas" w:hAnsi="Consolas"/>
          <w:color w:val="2D2D2D"/>
          <w:sz w:val="18"/>
        </w:rPr>
        <w:t>Blended Value = (DCF Value × DCF_Weight) + (Comparable Value × Comps_Weight)</w:t>
        <w:br/>
        <w:t>Default weights: DCF 60%, Comps 40% (adjustable via slider)</w:t>
        <w:br/>
        <w:br/>
        <w:t>If no valid comparables exist, DCF weight = 100%.</w:t>
        <w:br/>
        <w:br/>
        <w:t>Upside = (Blended − Current Price) / Current Price × 100%</w:t>
      </w:r>
    </w:p>
    <w:p>
      <w:r>
        <w:br w:type="page"/>
      </w:r>
    </w:p>
    <w:p>
      <w:pPr>
        <w:pStyle w:val="Heading1"/>
      </w:pPr>
      <w:r>
        <w:t>12. Financial Ratios (35+ Metrics)</w:t>
      </w:r>
    </w:p>
    <w:p>
      <w:r>
        <w:t>File: src/utils/valuationEngine.ts — calculateFinancialRatios()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Category</w:t>
            </w:r>
          </w:p>
        </w:tc>
        <w:tc>
          <w:tcPr>
            <w:tcW w:type="dxa" w:w="2880"/>
          </w:tcPr>
          <w:p>
            <w:r>
              <w:rPr>
                <w:b/>
                <w:sz w:val="18"/>
              </w:rPr>
              <w:t>Metrics</w:t>
            </w:r>
          </w:p>
        </w:tc>
        <w:tc>
          <w:tcPr>
            <w:tcW w:type="dxa" w:w="2880"/>
          </w:tcPr>
          <w:p>
            <w:r>
              <w:rPr>
                <w:b/>
                <w:sz w:val="18"/>
              </w:rPr>
              <w:t>Key Formulas</w:t>
            </w:r>
          </w:p>
        </w:tc>
      </w:tr>
      <w:tr>
        <w:tc>
          <w:tcPr>
            <w:tcW w:type="dxa" w:w="2880"/>
          </w:tcPr>
          <w:p>
            <w:r>
              <w:rPr>
                <w:sz w:val="18"/>
              </w:rPr>
              <w:t>Profitability</w:t>
            </w:r>
          </w:p>
        </w:tc>
        <w:tc>
          <w:tcPr>
            <w:tcW w:type="dxa" w:w="2880"/>
          </w:tcPr>
          <w:p>
            <w:r>
              <w:rPr>
                <w:sz w:val="18"/>
              </w:rPr>
              <w:t>Gross Margin, EBITDA Margin, EBIT Margin, Net Margin, ROE, ROA, ROIC</w:t>
            </w:r>
          </w:p>
        </w:tc>
        <w:tc>
          <w:tcPr>
            <w:tcW w:type="dxa" w:w="2880"/>
          </w:tcPr>
          <w:p>
            <w:r>
              <w:rPr>
                <w:sz w:val="18"/>
              </w:rPr>
              <w:t>ROIC = NOPAT / Invested Capital</w:t>
            </w:r>
          </w:p>
        </w:tc>
      </w:tr>
      <w:tr>
        <w:tc>
          <w:tcPr>
            <w:tcW w:type="dxa" w:w="2880"/>
          </w:tcPr>
          <w:p>
            <w:r>
              <w:rPr>
                <w:sz w:val="18"/>
              </w:rPr>
              <w:t>Leverage</w:t>
            </w:r>
          </w:p>
        </w:tc>
        <w:tc>
          <w:tcPr>
            <w:tcW w:type="dxa" w:w="2880"/>
          </w:tcPr>
          <w:p>
            <w:r>
              <w:rPr>
                <w:sz w:val="18"/>
              </w:rPr>
              <w:t>D/E, Net Debt/EBITDA, Interest Coverage</w:t>
            </w:r>
          </w:p>
        </w:tc>
        <w:tc>
          <w:tcPr>
            <w:tcW w:type="dxa" w:w="2880"/>
          </w:tcPr>
          <w:p>
            <w:r>
              <w:rPr>
                <w:sz w:val="18"/>
              </w:rPr>
              <w:t>IC = EBIT / Interest Expense</w:t>
            </w:r>
          </w:p>
        </w:tc>
      </w:tr>
      <w:tr>
        <w:tc>
          <w:tcPr>
            <w:tcW w:type="dxa" w:w="2880"/>
          </w:tcPr>
          <w:p>
            <w:r>
              <w:rPr>
                <w:sz w:val="18"/>
              </w:rPr>
              <w:t>Liquidity</w:t>
            </w:r>
          </w:p>
        </w:tc>
        <w:tc>
          <w:tcPr>
            <w:tcW w:type="dxa" w:w="2880"/>
          </w:tcPr>
          <w:p>
            <w:r>
              <w:rPr>
                <w:sz w:val="18"/>
              </w:rPr>
              <w:t>Current Ratio, Quick Ratio</w:t>
            </w:r>
          </w:p>
        </w:tc>
        <w:tc>
          <w:tcPr>
            <w:tcW w:type="dxa" w:w="2880"/>
          </w:tcPr>
          <w:p>
            <w:r>
              <w:rPr>
                <w:sz w:val="18"/>
              </w:rPr>
              <w:t>Quick = (Cash + AR) / Current Liabilities</w:t>
            </w:r>
          </w:p>
        </w:tc>
      </w:tr>
      <w:tr>
        <w:tc>
          <w:tcPr>
            <w:tcW w:type="dxa" w:w="2880"/>
          </w:tcPr>
          <w:p>
            <w:r>
              <w:rPr>
                <w:sz w:val="18"/>
              </w:rPr>
              <w:t>Efficiency</w:t>
            </w:r>
          </w:p>
        </w:tc>
        <w:tc>
          <w:tcPr>
            <w:tcW w:type="dxa" w:w="2880"/>
          </w:tcPr>
          <w:p>
            <w:r>
              <w:rPr>
                <w:sz w:val="18"/>
              </w:rPr>
              <w:t>DSO, DIO, DPO, Cash Conversion Cycle</w:t>
            </w:r>
          </w:p>
        </w:tc>
        <w:tc>
          <w:tcPr>
            <w:tcW w:type="dxa" w:w="2880"/>
          </w:tcPr>
          <w:p>
            <w:r>
              <w:rPr>
                <w:sz w:val="18"/>
              </w:rPr>
              <w:t>CCC = DSO + DIO − DPO</w:t>
            </w:r>
          </w:p>
        </w:tc>
      </w:tr>
      <w:tr>
        <w:tc>
          <w:tcPr>
            <w:tcW w:type="dxa" w:w="2880"/>
          </w:tcPr>
          <w:p>
            <w:r>
              <w:rPr>
                <w:sz w:val="18"/>
              </w:rPr>
              <w:t>Value Creation</w:t>
            </w:r>
          </w:p>
        </w:tc>
        <w:tc>
          <w:tcPr>
            <w:tcW w:type="dxa" w:w="2880"/>
          </w:tcPr>
          <w:p>
            <w:r>
              <w:rPr>
                <w:sz w:val="18"/>
              </w:rPr>
              <w:t>EVA, ROIC-WACC Spread</w:t>
            </w:r>
          </w:p>
        </w:tc>
        <w:tc>
          <w:tcPr>
            <w:tcW w:type="dxa" w:w="2880"/>
          </w:tcPr>
          <w:p>
            <w:r>
              <w:rPr>
                <w:sz w:val="18"/>
              </w:rPr>
              <w:t>EVA = NOPAT − (IC × WACC)</w:t>
            </w:r>
          </w:p>
        </w:tc>
      </w:tr>
      <w:tr>
        <w:tc>
          <w:tcPr>
            <w:tcW w:type="dxa" w:w="2880"/>
          </w:tcPr>
          <w:p>
            <w:r>
              <w:rPr>
                <w:sz w:val="18"/>
              </w:rPr>
              <w:t>Quality</w:t>
            </w:r>
          </w:p>
        </w:tc>
        <w:tc>
          <w:tcPr>
            <w:tcW w:type="dxa" w:w="2880"/>
          </w:tcPr>
          <w:p>
            <w:r>
              <w:rPr>
                <w:sz w:val="18"/>
              </w:rPr>
              <w:t>Altman Z-Score, Piotroski F-Score (TODO)</w:t>
            </w:r>
          </w:p>
        </w:tc>
        <w:tc>
          <w:tcPr>
            <w:tcW w:type="dxa" w:w="2880"/>
          </w:tcPr>
          <w:p>
            <w:r>
              <w:rPr>
                <w:sz w:val="18"/>
              </w:rPr>
              <w:t>Z = 1.2×WC/TA + 1.4×RE/TA + 3.3×EBIT/TA + 0.6×MCap/TL + Rev/TA</w:t>
            </w:r>
          </w:p>
        </w:tc>
      </w:tr>
      <w:tr>
        <w:tc>
          <w:tcPr>
            <w:tcW w:type="dxa" w:w="2880"/>
          </w:tcPr>
          <w:p>
            <w:r>
              <w:rPr>
                <w:sz w:val="18"/>
              </w:rPr>
              <w:t>Valuation</w:t>
            </w:r>
          </w:p>
        </w:tc>
        <w:tc>
          <w:tcPr>
            <w:tcW w:type="dxa" w:w="2880"/>
          </w:tcPr>
          <w:p>
            <w:r>
              <w:rPr>
                <w:sz w:val="18"/>
              </w:rPr>
              <w:t>P/E (trailing &amp; forward), EV/EBITDA, EV/EBIT, EV/Revenue, P/B, P/S, P/CF, PEG, Dividend Yield, Earnings Yield, FCF Yield</w:t>
            </w:r>
          </w:p>
        </w:tc>
        <w:tc>
          <w:tcPr>
            <w:tcW w:type="dxa" w:w="2880"/>
          </w:tcPr>
          <w:p>
            <w:r>
              <w:rPr>
                <w:sz w:val="18"/>
              </w:rPr>
              <w:t>Forward P/E uses 15% growth proxy</w:t>
            </w:r>
          </w:p>
        </w:tc>
      </w:tr>
    </w:tbl>
    <w:p>
      <w:r>
        <w:br w:type="page"/>
      </w:r>
    </w:p>
    <w:p>
      <w:pPr>
        <w:pStyle w:val="Heading1"/>
      </w:pPr>
      <w:r>
        <w:t>13. Sensitivity Analysis (5×5 Matrix)</w:t>
      </w:r>
    </w:p>
    <w:p>
      <w:r>
        <w:t>File: src/utils/valuationEngine.ts — generateSensitivityMatrix()</w:t>
      </w:r>
    </w:p>
    <w:p>
      <w:pPr>
        <w:spacing w:before="80" w:after="80"/>
        <w:ind w:left="567"/>
      </w:pPr>
      <w:r>
        <w:rPr>
          <w:rFonts w:ascii="Consolas" w:hAnsi="Consolas"/>
          <w:color w:val="2D2D2D"/>
          <w:sz w:val="18"/>
        </w:rPr>
        <w:t>WACC Axis: [Base−4%, Base−2%, Base, Base+2%, Base+4%]</w:t>
        <w:br/>
        <w:t>Growth Axis: [Base−3%, Base−1.5%, Base, Base+1.5%, Base+3%]</w:t>
        <w:br/>
        <w:t xml:space="preserve">  Growth floored at 4% (Egypt minimum), capped below WACC−1%</w:t>
        <w:br/>
        <w:br/>
        <w:t>Each cell recalculates full DCF with those parameters.</w:t>
        <w:br/>
        <w:t>Color coding: Green (&gt;10% upside), Yellow (±10%), Red (&gt;10% downside)</w:t>
        <w:br/>
        <w:t>Base case cell is highlighted.</w:t>
      </w:r>
    </w:p>
    <w:p>
      <w:pPr>
        <w:pStyle w:val="Heading1"/>
      </w:pPr>
      <w:r>
        <w:t>14. Scenario Analysis (Bear/Base/Bull)</w:t>
      </w:r>
    </w:p>
    <w:p>
      <w:r>
        <w:t>File: src/utils/valuationEngine.ts — calculateScenarioAnalysis()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Parameter</w:t>
            </w:r>
          </w:p>
        </w:tc>
        <w:tc>
          <w:tcPr>
            <w:tcW w:type="dxa" w:w="2160"/>
          </w:tcPr>
          <w:p>
            <w:r>
              <w:rPr>
                <w:b/>
                <w:sz w:val="18"/>
              </w:rPr>
              <w:t>Bear Delta</w:t>
            </w:r>
          </w:p>
        </w:tc>
        <w:tc>
          <w:tcPr>
            <w:tcW w:type="dxa" w:w="2160"/>
          </w:tcPr>
          <w:p>
            <w:r>
              <w:rPr>
                <w:b/>
                <w:sz w:val="18"/>
              </w:rPr>
              <w:t>Base</w:t>
            </w:r>
          </w:p>
        </w:tc>
        <w:tc>
          <w:tcPr>
            <w:tcW w:type="dxa" w:w="2160"/>
          </w:tcPr>
          <w:p>
            <w:r>
              <w:rPr>
                <w:b/>
                <w:sz w:val="18"/>
              </w:rPr>
              <w:t>Bull Delta</w:t>
            </w:r>
          </w:p>
        </w:tc>
      </w:tr>
      <w:tr>
        <w:tc>
          <w:tcPr>
            <w:tcW w:type="dxa" w:w="2160"/>
          </w:tcPr>
          <w:p>
            <w:r>
              <w:rPr>
                <w:sz w:val="18"/>
              </w:rPr>
              <w:t>Revenue Growth</w:t>
            </w:r>
          </w:p>
        </w:tc>
        <w:tc>
          <w:tcPr>
            <w:tcW w:type="dxa" w:w="2160"/>
          </w:tcPr>
          <w:p>
            <w:r>
              <w:rPr>
                <w:sz w:val="18"/>
              </w:rPr>
              <w:t>−5%</w:t>
            </w:r>
          </w:p>
        </w:tc>
        <w:tc>
          <w:tcPr>
            <w:tcW w:type="dxa" w:w="2160"/>
          </w:tcPr>
          <w:p>
            <w:r>
              <w:rPr>
                <w:sz w:val="18"/>
              </w:rPr>
              <w:t>0</w:t>
            </w:r>
          </w:p>
        </w:tc>
        <w:tc>
          <w:tcPr>
            <w:tcW w:type="dxa" w:w="2160"/>
          </w:tcPr>
          <w:p>
            <w:r>
              <w:rPr>
                <w:sz w:val="18"/>
              </w:rPr>
              <w:t>+5%</w:t>
            </w:r>
          </w:p>
        </w:tc>
      </w:tr>
      <w:tr>
        <w:tc>
          <w:tcPr>
            <w:tcW w:type="dxa" w:w="2160"/>
          </w:tcPr>
          <w:p>
            <w:r>
              <w:rPr>
                <w:sz w:val="18"/>
              </w:rPr>
              <w:t>EBITDA Margin</w:t>
            </w:r>
          </w:p>
        </w:tc>
        <w:tc>
          <w:tcPr>
            <w:tcW w:type="dxa" w:w="2160"/>
          </w:tcPr>
          <w:p>
            <w:r>
              <w:rPr>
                <w:sz w:val="18"/>
              </w:rPr>
              <w:t>−3%</w:t>
            </w:r>
          </w:p>
        </w:tc>
        <w:tc>
          <w:tcPr>
            <w:tcW w:type="dxa" w:w="2160"/>
          </w:tcPr>
          <w:p>
            <w:r>
              <w:rPr>
                <w:sz w:val="18"/>
              </w:rPr>
              <w:t>0</w:t>
            </w:r>
          </w:p>
        </w:tc>
        <w:tc>
          <w:tcPr>
            <w:tcW w:type="dxa" w:w="2160"/>
          </w:tcPr>
          <w:p>
            <w:r>
              <w:rPr>
                <w:sz w:val="18"/>
              </w:rPr>
              <w:t>+3%</w:t>
            </w:r>
          </w:p>
        </w:tc>
      </w:tr>
      <w:tr>
        <w:tc>
          <w:tcPr>
            <w:tcW w:type="dxa" w:w="2160"/>
          </w:tcPr>
          <w:p>
            <w:r>
              <w:rPr>
                <w:sz w:val="18"/>
              </w:rPr>
              <w:t>Terminal Growth</w:t>
            </w:r>
          </w:p>
        </w:tc>
        <w:tc>
          <w:tcPr>
            <w:tcW w:type="dxa" w:w="2160"/>
          </w:tcPr>
          <w:p>
            <w:r>
              <w:rPr>
                <w:sz w:val="18"/>
              </w:rPr>
              <w:t>−1%</w:t>
            </w:r>
          </w:p>
        </w:tc>
        <w:tc>
          <w:tcPr>
            <w:tcW w:type="dxa" w:w="2160"/>
          </w:tcPr>
          <w:p>
            <w:r>
              <w:rPr>
                <w:sz w:val="18"/>
              </w:rPr>
              <w:t>0</w:t>
            </w:r>
          </w:p>
        </w:tc>
        <w:tc>
          <w:tcPr>
            <w:tcW w:type="dxa" w:w="2160"/>
          </w:tcPr>
          <w:p>
            <w:r>
              <w:rPr>
                <w:sz w:val="18"/>
              </w:rPr>
              <w:t>+1%</w:t>
            </w:r>
          </w:p>
        </w:tc>
      </w:tr>
      <w:tr>
        <w:tc>
          <w:tcPr>
            <w:tcW w:type="dxa" w:w="2160"/>
          </w:tcPr>
          <w:p>
            <w:r>
              <w:rPr>
                <w:sz w:val="18"/>
              </w:rPr>
              <w:t>WACC</w:t>
            </w:r>
          </w:p>
        </w:tc>
        <w:tc>
          <w:tcPr>
            <w:tcW w:type="dxa" w:w="2160"/>
          </w:tcPr>
          <w:p>
            <w:r>
              <w:rPr>
                <w:sz w:val="18"/>
              </w:rPr>
              <w:t>+1%</w:t>
            </w:r>
          </w:p>
        </w:tc>
        <w:tc>
          <w:tcPr>
            <w:tcW w:type="dxa" w:w="2160"/>
          </w:tcPr>
          <w:p>
            <w:r>
              <w:rPr>
                <w:sz w:val="18"/>
              </w:rPr>
              <w:t>0</w:t>
            </w:r>
          </w:p>
        </w:tc>
        <w:tc>
          <w:tcPr>
            <w:tcW w:type="dxa" w:w="2160"/>
          </w:tcPr>
          <w:p>
            <w:r>
              <w:rPr>
                <w:sz w:val="18"/>
              </w:rPr>
              <w:t>−1%</w:t>
            </w:r>
          </w:p>
        </w:tc>
      </w:tr>
      <w:tr>
        <w:tc>
          <w:tcPr>
            <w:tcW w:type="dxa" w:w="2160"/>
          </w:tcPr>
          <w:p>
            <w:r>
              <w:rPr>
                <w:sz w:val="18"/>
              </w:rPr>
              <w:t>Default Probability</w:t>
            </w:r>
          </w:p>
        </w:tc>
        <w:tc>
          <w:tcPr>
            <w:tcW w:type="dxa" w:w="2160"/>
          </w:tcPr>
          <w:p>
            <w:r>
              <w:rPr>
                <w:sz w:val="18"/>
              </w:rPr>
              <w:t>25%</w:t>
            </w:r>
          </w:p>
        </w:tc>
        <w:tc>
          <w:tcPr>
            <w:tcW w:type="dxa" w:w="2160"/>
          </w:tcPr>
          <w:p>
            <w:r>
              <w:rPr>
                <w:sz w:val="18"/>
              </w:rPr>
              <w:t>50%</w:t>
            </w:r>
          </w:p>
        </w:tc>
        <w:tc>
          <w:tcPr>
            <w:tcW w:type="dxa" w:w="2160"/>
          </w:tcPr>
          <w:p>
            <w:r>
              <w:rPr>
                <w:sz w:val="18"/>
              </w:rPr>
              <w:t>25%</w:t>
            </w:r>
          </w:p>
        </w:tc>
      </w:tr>
    </w:tbl>
    <w:p>
      <w:pPr>
        <w:spacing w:before="80" w:after="80"/>
        <w:ind w:left="567"/>
      </w:pPr>
      <w:r>
        <w:rPr>
          <w:rFonts w:ascii="Consolas" w:hAnsi="Consolas"/>
          <w:color w:val="2D2D2D"/>
          <w:sz w:val="18"/>
        </w:rPr>
        <w:t>Weighted Value = P(Bear)×V(Bear) + P(Base)×V(Base) + P(Bull)×V(Bull)</w:t>
      </w:r>
    </w:p>
    <w:p>
      <w:pPr>
        <w:pStyle w:val="Heading1"/>
      </w:pPr>
      <w:r>
        <w:t>15. Reverse DCF</w:t>
      </w:r>
    </w:p>
    <w:p>
      <w:r>
        <w:t>File: src/utils/advancedAnalysis.ts — calculateReverseDCF()</w:t>
      </w:r>
    </w:p>
    <w:p>
      <w:r>
        <w:t>Uses binary search (100 iterations) to solve for the implied revenue growth rate the market is pricing in. Compares to your base case growth to classify market expectations as 'aggressive', 'reasonable', or 'conservative'.</w:t>
      </w:r>
    </w:p>
    <w:p>
      <w:pPr>
        <w:pStyle w:val="Heading1"/>
      </w:pPr>
      <w:r>
        <w:t>16. Monte Carlo Simulation</w:t>
      </w:r>
    </w:p>
    <w:p>
      <w:r>
        <w:t>Files: src/utils/advancedAnalysis.ts, src/workers/monteCarlo.worker.ts</w:t>
      </w:r>
    </w:p>
    <w:p>
      <w:pPr>
        <w:spacing w:before="80" w:after="80"/>
        <w:ind w:left="567"/>
      </w:pPr>
      <w:r>
        <w:rPr>
          <w:rFonts w:ascii="Consolas" w:hAnsi="Consolas"/>
          <w:color w:val="2D2D2D"/>
          <w:sz w:val="18"/>
        </w:rPr>
        <w:t>Runs 5,000 simulations with Gaussian random variation:</w:t>
        <w:br/>
        <w:t xml:space="preserve">  Revenue Growth: ±4% std dev</w:t>
        <w:br/>
        <w:t xml:space="preserve">  WACC: ±1.5% std dev</w:t>
        <w:br/>
        <w:t xml:space="preserve">  Terminal Growth: ±0.8% std dev</w:t>
        <w:br/>
        <w:t xml:space="preserve">  EBITDA Margin: ±1.5% std dev</w:t>
        <w:br/>
        <w:br/>
        <w:t>Outputs: Mean/Median price, Std Dev, P5/P25/P75/P95 percentiles,</w:t>
        <w:br/>
        <w:t xml:space="preserve">         probability above current price, 20-bucket histogram distribution.</w:t>
        <w:br/>
        <w:br/>
        <w:t>Worker thread: Runs off main thread via Web Worker API to prevent UI blocking.</w:t>
      </w:r>
    </w:p>
    <w:p>
      <w:r>
        <w:br w:type="page"/>
      </w:r>
    </w:p>
    <w:p>
      <w:pPr>
        <w:pStyle w:val="Heading1"/>
      </w:pPr>
      <w:r>
        <w:t>17. Sector Benchmarking &amp; Quality Scorecard</w:t>
      </w:r>
    </w:p>
    <w:p>
      <w:r>
        <w:t>File: src/utils/advancedAnalysis.ts</w:t>
      </w:r>
    </w:p>
    <w:p>
      <w:pPr>
        <w:pStyle w:val="Heading2"/>
      </w:pPr>
      <w:r>
        <w:t>Sector Benchmarking</w:t>
      </w:r>
    </w:p>
    <w:p>
      <w:r>
        <w:t>Compares the company against sector median/P25/P75 benchmarks across 10 metrics: Gross Margin, Operating Margin, Net Margin, ROE, ROA, FCF Margin, D/E, Current Ratio, P/E, EV/EBITDA. Generates an overall percentile score and qualitative rating.</w:t>
      </w:r>
    </w:p>
    <w:p>
      <w:pPr>
        <w:pStyle w:val="Heading2"/>
      </w:pPr>
      <w:r>
        <w:t>Quality Scorecard (40 points total)</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Pillar</w:t>
            </w:r>
          </w:p>
        </w:tc>
        <w:tc>
          <w:tcPr>
            <w:tcW w:type="dxa" w:w="2880"/>
          </w:tcPr>
          <w:p>
            <w:r>
              <w:rPr>
                <w:b/>
                <w:sz w:val="18"/>
              </w:rPr>
              <w:t>Max Score</w:t>
            </w:r>
          </w:p>
        </w:tc>
        <w:tc>
          <w:tcPr>
            <w:tcW w:type="dxa" w:w="2880"/>
          </w:tcPr>
          <w:p>
            <w:r>
              <w:rPr>
                <w:b/>
                <w:sz w:val="18"/>
              </w:rPr>
              <w:t>Components</w:t>
            </w:r>
          </w:p>
        </w:tc>
      </w:tr>
      <w:tr>
        <w:tc>
          <w:tcPr>
            <w:tcW w:type="dxa" w:w="2880"/>
          </w:tcPr>
          <w:p>
            <w:r>
              <w:rPr>
                <w:sz w:val="18"/>
              </w:rPr>
              <w:t>Economic Moat</w:t>
            </w:r>
          </w:p>
        </w:tc>
        <w:tc>
          <w:tcPr>
            <w:tcW w:type="dxa" w:w="2880"/>
          </w:tcPr>
          <w:p>
            <w:r>
              <w:rPr>
                <w:sz w:val="18"/>
              </w:rPr>
              <w:t>10</w:t>
            </w:r>
          </w:p>
        </w:tc>
        <w:tc>
          <w:tcPr>
            <w:tcW w:type="dxa" w:w="2880"/>
          </w:tcPr>
          <w:p>
            <w:r>
              <w:rPr>
                <w:sz w:val="18"/>
              </w:rPr>
              <w:t>Gross Margin, Operating Margin, ROE, Market Position</w:t>
            </w:r>
          </w:p>
        </w:tc>
      </w:tr>
      <w:tr>
        <w:tc>
          <w:tcPr>
            <w:tcW w:type="dxa" w:w="2880"/>
          </w:tcPr>
          <w:p>
            <w:r>
              <w:rPr>
                <w:sz w:val="18"/>
              </w:rPr>
              <w:t>Financial Health</w:t>
            </w:r>
          </w:p>
        </w:tc>
        <w:tc>
          <w:tcPr>
            <w:tcW w:type="dxa" w:w="2880"/>
          </w:tcPr>
          <w:p>
            <w:r>
              <w:rPr>
                <w:sz w:val="18"/>
              </w:rPr>
              <w:t>10</w:t>
            </w:r>
          </w:p>
        </w:tc>
        <w:tc>
          <w:tcPr>
            <w:tcW w:type="dxa" w:w="2880"/>
          </w:tcPr>
          <w:p>
            <w:r>
              <w:rPr>
                <w:sz w:val="18"/>
              </w:rPr>
              <w:t>Current Ratio, D/E, Interest Coverage, Cash/Debt</w:t>
            </w:r>
          </w:p>
        </w:tc>
      </w:tr>
      <w:tr>
        <w:tc>
          <w:tcPr>
            <w:tcW w:type="dxa" w:w="2880"/>
          </w:tcPr>
          <w:p>
            <w:r>
              <w:rPr>
                <w:sz w:val="18"/>
              </w:rPr>
              <w:t>Growth &amp; Profitability</w:t>
            </w:r>
          </w:p>
        </w:tc>
        <w:tc>
          <w:tcPr>
            <w:tcW w:type="dxa" w:w="2880"/>
          </w:tcPr>
          <w:p>
            <w:r>
              <w:rPr>
                <w:sz w:val="18"/>
              </w:rPr>
              <w:t>10</w:t>
            </w:r>
          </w:p>
        </w:tc>
        <w:tc>
          <w:tcPr>
            <w:tcW w:type="dxa" w:w="2880"/>
          </w:tcPr>
          <w:p>
            <w:r>
              <w:rPr>
                <w:sz w:val="18"/>
              </w:rPr>
              <w:t>Net Margin, FCF Generation, Earnings Quality (OCF&gt;NI)</w:t>
            </w:r>
          </w:p>
        </w:tc>
      </w:tr>
      <w:tr>
        <w:tc>
          <w:tcPr>
            <w:tcW w:type="dxa" w:w="2880"/>
          </w:tcPr>
          <w:p>
            <w:r>
              <w:rPr>
                <w:sz w:val="18"/>
              </w:rPr>
              <w:t>Capital Allocation</w:t>
            </w:r>
          </w:p>
        </w:tc>
        <w:tc>
          <w:tcPr>
            <w:tcW w:type="dxa" w:w="2880"/>
          </w:tcPr>
          <w:p>
            <w:r>
              <w:rPr>
                <w:sz w:val="18"/>
              </w:rPr>
              <w:t>10</w:t>
            </w:r>
          </w:p>
        </w:tc>
        <w:tc>
          <w:tcPr>
            <w:tcW w:type="dxa" w:w="2880"/>
          </w:tcPr>
          <w:p>
            <w:r>
              <w:rPr>
                <w:sz w:val="18"/>
              </w:rPr>
              <w:t>CapEx/Revenue, Dividend Payout, FCF Conversion, Cash Accumulation</w:t>
            </w:r>
          </w:p>
        </w:tc>
      </w:tr>
    </w:tbl>
    <w:p>
      <w:pPr>
        <w:spacing w:before="80" w:after="80"/>
        <w:ind w:left="567"/>
      </w:pPr>
      <w:r>
        <w:rPr>
          <w:rFonts w:ascii="Consolas" w:hAnsi="Consolas"/>
          <w:color w:val="2D2D2D"/>
          <w:sz w:val="18"/>
        </w:rPr>
        <w:t>Grade: A+ (≥85%) → +15% premium | A (≥75%) → +10% | B+ (≥65%) → +5% | B (≥55%) → 0%</w:t>
        <w:br/>
        <w:t xml:space="preserve">        C (≥45%) → −5% | D (≥35%) → −10% | F (&lt;35%) → −15%</w:t>
      </w:r>
    </w:p>
    <w:p>
      <w:pPr>
        <w:pStyle w:val="Heading1"/>
      </w:pPr>
      <w:r>
        <w:t>18. Confidence Score Module</w:t>
      </w:r>
    </w:p>
    <w:p>
      <w:r>
        <w:t>File: src/utils/confidenceScore.ts (186 lines)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Pillar</w:t>
            </w:r>
          </w:p>
        </w:tc>
        <w:tc>
          <w:tcPr>
            <w:tcW w:type="dxa" w:w="2880"/>
          </w:tcPr>
          <w:p>
            <w:r>
              <w:rPr>
                <w:b/>
                <w:sz w:val="18"/>
              </w:rPr>
              <w:t>Max Points</w:t>
            </w:r>
          </w:p>
        </w:tc>
        <w:tc>
          <w:tcPr>
            <w:tcW w:type="dxa" w:w="2880"/>
          </w:tcPr>
          <w:p>
            <w:r>
              <w:rPr>
                <w:b/>
                <w:sz w:val="18"/>
              </w:rPr>
              <w:t>Checks</w:t>
            </w:r>
          </w:p>
        </w:tc>
      </w:tr>
      <w:tr>
        <w:tc>
          <w:tcPr>
            <w:tcW w:type="dxa" w:w="2880"/>
          </w:tcPr>
          <w:p>
            <w:r>
              <w:rPr>
                <w:sz w:val="18"/>
              </w:rPr>
              <w:t>Data Quality</w:t>
            </w:r>
          </w:p>
        </w:tc>
        <w:tc>
          <w:tcPr>
            <w:tcW w:type="dxa" w:w="2880"/>
          </w:tcPr>
          <w:p>
            <w:r>
              <w:rPr>
                <w:sz w:val="18"/>
              </w:rPr>
              <w:t>30</w:t>
            </w:r>
          </w:p>
        </w:tc>
        <w:tc>
          <w:tcPr>
            <w:tcW w:type="dxa" w:w="2880"/>
          </w:tcPr>
          <w:p>
            <w:r>
              <w:rPr>
                <w:sz w:val="18"/>
              </w:rPr>
              <w:t>D&amp;A&gt;0 (5), CapEx&gt;0 (5), Interest consistency (5), EBITDA&gt;0 (5), Revenue&gt;0 (5), Shares&gt;0 (5)</w:t>
            </w:r>
          </w:p>
        </w:tc>
      </w:tr>
      <w:tr>
        <w:tc>
          <w:tcPr>
            <w:tcW w:type="dxa" w:w="2880"/>
          </w:tcPr>
          <w:p>
            <w:r>
              <w:rPr>
                <w:sz w:val="18"/>
              </w:rPr>
              <w:t>Assumption Reasonableness</w:t>
            </w:r>
          </w:p>
        </w:tc>
        <w:tc>
          <w:tcPr>
            <w:tcW w:type="dxa" w:w="2880"/>
          </w:tcPr>
          <w:p>
            <w:r>
              <w:rPr>
                <w:sz w:val="18"/>
              </w:rPr>
              <w:t>40</w:t>
            </w:r>
          </w:p>
        </w:tc>
        <w:tc>
          <w:tcPr>
            <w:tcW w:type="dxa" w:w="2880"/>
          </w:tcPr>
          <w:p>
            <w:r>
              <w:rPr>
                <w:sz w:val="18"/>
              </w:rPr>
              <w:t>Rev growth ≤25% (8), EBITDA margin ≤50% (8), g&lt;GDP (8), WACC 15-35% (8), FCFF reconciles (8)</w:t>
            </w:r>
          </w:p>
        </w:tc>
      </w:tr>
      <w:tr>
        <w:tc>
          <w:tcPr>
            <w:tcW w:type="dxa" w:w="2880"/>
          </w:tcPr>
          <w:p>
            <w:r>
              <w:rPr>
                <w:sz w:val="18"/>
              </w:rPr>
              <w:t>Model Robustness</w:t>
            </w:r>
          </w:p>
        </w:tc>
        <w:tc>
          <w:tcPr>
            <w:tcW w:type="dxa" w:w="2880"/>
          </w:tcPr>
          <w:p>
            <w:r>
              <w:rPr>
                <w:sz w:val="18"/>
              </w:rPr>
              <w:t>30</w:t>
            </w:r>
          </w:p>
        </w:tc>
        <w:tc>
          <w:tcPr>
            <w:tcW w:type="dxa" w:w="2880"/>
          </w:tcPr>
          <w:p>
            <w:r>
              <w:rPr>
                <w:sz w:val="18"/>
              </w:rPr>
              <w:t>TV&lt;80% EV (10), Value within ±50% (10), DCF/DDM agreement (5), IC&gt;1.5x (5)</w:t>
            </w:r>
          </w:p>
        </w:tc>
      </w:tr>
    </w:tbl>
    <w:p>
      <w:pPr>
        <w:spacing w:before="80" w:after="80"/>
        <w:ind w:left="567"/>
      </w:pPr>
      <w:r>
        <w:rPr>
          <w:rFonts w:ascii="Consolas" w:hAnsi="Consolas"/>
          <w:color w:val="2D2D2D"/>
          <w:sz w:val="18"/>
        </w:rPr>
        <w:t>Grades: A (≥85) | B (≥70) | C (≥55) | D (≥40) | F (&lt;40)</w:t>
      </w:r>
    </w:p>
    <w:p>
      <w:r>
        <w:br w:type="page"/>
      </w:r>
    </w:p>
    <w:p>
      <w:pPr>
        <w:pStyle w:val="Heading1"/>
      </w:pPr>
      <w:r>
        <w:t>19. EAS/IFRS Compliance Modules</w:t>
      </w:r>
    </w:p>
    <w:p>
      <w:r>
        <w:t>File: src/utils/easModules.ts (232 lines)</w:t>
      </w:r>
    </w:p>
    <w:p>
      <w:pPr>
        <w:pStyle w:val="Heading2"/>
      </w:pPr>
      <w:r>
        <w:t>EAS 48 (IFRS 16) — Lease Adjustments</w:t>
      </w:r>
    </w:p>
    <w:p>
      <w:pPr>
        <w:spacing w:before="80" w:after="80"/>
        <w:ind w:left="567"/>
      </w:pPr>
      <w:r>
        <w:rPr>
          <w:rFonts w:ascii="Consolas" w:hAnsi="Consolas"/>
          <w:color w:val="2D2D2D"/>
          <w:sz w:val="18"/>
        </w:rPr>
        <w:t>ROU Asset = PV of remaining lease payments at IBR</w:t>
        <w:br/>
        <w:t xml:space="preserve">         = PMT × [(1 − (1+r)^−n) / r]</w:t>
        <w:br/>
        <w:t>Lease Liability = ROU Asset (at inception)</w:t>
        <w:br/>
        <w:t>Annual Depreciation = ROU / remaining term (straight-line)</w:t>
        <w:br/>
        <w:t>Interest Expense = Lease Liability × IBR (Year 1)</w:t>
        <w:br/>
        <w:t>EBITDA Add-back = Full annual lease payment (reclassified from operating to financing)</w:t>
        <w:br/>
        <w:t>Post-adjustment Debt = Current Debt + Lease Liability</w:t>
      </w:r>
    </w:p>
    <w:p>
      <w:pPr>
        <w:pStyle w:val="Heading2"/>
      </w:pPr>
      <w:r>
        <w:t>EAS 31 (IAS 1) — Normalized Earnings</w:t>
      </w:r>
    </w:p>
    <w:p>
      <w:r>
        <w:t>Add-backs (impairment, restructuring, legal settlements) and deductions (gain on asset sale, insurance proceeds) with optional tax-effect adjustment.</w:t>
      </w:r>
    </w:p>
    <w:p>
      <w:pPr>
        <w:spacing w:before="80" w:after="80"/>
        <w:ind w:left="567"/>
      </w:pPr>
      <w:r>
        <w:rPr>
          <w:rFonts w:ascii="Consolas" w:hAnsi="Consolas"/>
          <w:color w:val="2D2D2D"/>
          <w:sz w:val="18"/>
        </w:rPr>
        <w:t>Normalized NI = Reported NI + Σ(Adjustments) − Tax Effect on tax-affected items</w:t>
      </w:r>
    </w:p>
    <w:p>
      <w:pPr>
        <w:pStyle w:val="Heading2"/>
      </w:pPr>
      <w:r>
        <w:t>EAS 12 (IAS 12) — Deferred Tax in EV Bridge</w:t>
      </w:r>
    </w:p>
    <w:p>
      <w:pPr>
        <w:spacing w:before="80" w:after="80"/>
        <w:ind w:left="567"/>
      </w:pPr>
      <w:r>
        <w:rPr>
          <w:rFonts w:ascii="Consolas" w:hAnsi="Consolas"/>
          <w:color w:val="2D2D2D"/>
          <w:sz w:val="18"/>
        </w:rPr>
        <w:t>Net DTA = Deferred Tax Asset − Deferred Tax Liability</w:t>
        <w:br/>
        <w:t>Adjusted Equity = Base Equity + Net DTA</w:t>
      </w:r>
    </w:p>
    <w:p>
      <w:pPr>
        <w:pStyle w:val="Heading2"/>
      </w:pPr>
      <w:r>
        <w:t>EAS 23 (IAS 33) — Basic &amp; Diluted EPS</w:t>
      </w:r>
    </w:p>
    <w:p>
      <w:pPr>
        <w:spacing w:before="80" w:after="80"/>
        <w:ind w:left="567"/>
      </w:pPr>
      <w:r>
        <w:rPr>
          <w:rFonts w:ascii="Consolas" w:hAnsi="Consolas"/>
          <w:color w:val="2D2D2D"/>
          <w:sz w:val="18"/>
        </w:rPr>
        <w:t>Basic EPS = Net Income / Basic Shares</w:t>
        <w:br/>
        <w:t>Diluted EPS = (NI + Convertible Interest) / Diluted Shares</w:t>
        <w:br/>
        <w:t>Anti-dilution check: if Diluted EPS &gt; Basic EPS, use Basic EPS</w:t>
      </w:r>
    </w:p>
    <w:p>
      <w:r>
        <w:br w:type="page"/>
      </w:r>
    </w:p>
    <w:p>
      <w:pPr>
        <w:pStyle w:val="Heading1"/>
      </w:pPr>
      <w:r>
        <w:t>20. Input Validation Framework</w:t>
      </w:r>
    </w:p>
    <w:p>
      <w:r>
        <w:t>File: src/utils/inputValidation.ts (353 lines)</w:t>
      </w:r>
    </w:p>
    <w:p>
      <w:pPr>
        <w:pStyle w:val="Heading2"/>
      </w:pPr>
      <w:r>
        <w:t>Hard Blocks (Must Fix — Calculation Blocked)</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Rule</w:t>
            </w:r>
          </w:p>
        </w:tc>
        <w:tc>
          <w:tcPr>
            <w:tcW w:type="dxa" w:w="2880"/>
          </w:tcPr>
          <w:p>
            <w:r>
              <w:rPr>
                <w:b/>
                <w:sz w:val="18"/>
              </w:rPr>
              <w:t>Limit</w:t>
            </w:r>
          </w:p>
        </w:tc>
      </w:tr>
      <w:tr>
        <w:tc>
          <w:tcPr>
            <w:tcW w:type="dxa" w:w="2880"/>
          </w:tcPr>
          <w:p>
            <w:r>
              <w:rPr>
                <w:sz w:val="18"/>
              </w:rPr>
              <w:t>HB-1</w:t>
            </w:r>
          </w:p>
        </w:tc>
        <w:tc>
          <w:tcPr>
            <w:tcW w:type="dxa" w:w="2880"/>
          </w:tcPr>
          <w:p>
            <w:r>
              <w:rPr>
                <w:sz w:val="18"/>
              </w:rPr>
              <w:t>Revenue ≥ 0</w:t>
            </w:r>
          </w:p>
        </w:tc>
        <w:tc>
          <w:tcPr>
            <w:tcW w:type="dxa" w:w="2880"/>
          </w:tcPr>
          <w:p>
            <w:r>
              <w:rPr>
                <w:sz w:val="18"/>
              </w:rPr>
              <w:t>≥ 0</w:t>
            </w:r>
          </w:p>
        </w:tc>
      </w:tr>
      <w:tr>
        <w:tc>
          <w:tcPr>
            <w:tcW w:type="dxa" w:w="2880"/>
          </w:tcPr>
          <w:p>
            <w:r>
              <w:rPr>
                <w:sz w:val="18"/>
              </w:rPr>
              <w:t>HB-2</w:t>
            </w:r>
          </w:p>
        </w:tc>
        <w:tc>
          <w:tcPr>
            <w:tcW w:type="dxa" w:w="2880"/>
          </w:tcPr>
          <w:p>
            <w:r>
              <w:rPr>
                <w:sz w:val="18"/>
              </w:rPr>
              <w:t>Tax Rate</w:t>
            </w:r>
          </w:p>
        </w:tc>
        <w:tc>
          <w:tcPr>
            <w:tcW w:type="dxa" w:w="2880"/>
          </w:tcPr>
          <w:p>
            <w:r>
              <w:rPr>
                <w:sz w:val="18"/>
              </w:rPr>
              <w:t>0–60%</w:t>
            </w:r>
          </w:p>
        </w:tc>
      </w:tr>
      <w:tr>
        <w:tc>
          <w:tcPr>
            <w:tcW w:type="dxa" w:w="2880"/>
          </w:tcPr>
          <w:p>
            <w:r>
              <w:rPr>
                <w:sz w:val="18"/>
              </w:rPr>
              <w:t>HB-3</w:t>
            </w:r>
          </w:p>
        </w:tc>
        <w:tc>
          <w:tcPr>
            <w:tcW w:type="dxa" w:w="2880"/>
          </w:tcPr>
          <w:p>
            <w:r>
              <w:rPr>
                <w:sz w:val="18"/>
              </w:rPr>
              <w:t>Risk-Free Rate</w:t>
            </w:r>
          </w:p>
        </w:tc>
        <w:tc>
          <w:tcPr>
            <w:tcW w:type="dxa" w:w="2880"/>
          </w:tcPr>
          <w:p>
            <w:r>
              <w:rPr>
                <w:sz w:val="18"/>
              </w:rPr>
              <w:t>0–40%</w:t>
            </w:r>
          </w:p>
        </w:tc>
      </w:tr>
      <w:tr>
        <w:tc>
          <w:tcPr>
            <w:tcW w:type="dxa" w:w="2880"/>
          </w:tcPr>
          <w:p>
            <w:r>
              <w:rPr>
                <w:sz w:val="18"/>
              </w:rPr>
              <w:t>HB-4</w:t>
            </w:r>
          </w:p>
        </w:tc>
        <w:tc>
          <w:tcPr>
            <w:tcW w:type="dxa" w:w="2880"/>
          </w:tcPr>
          <w:p>
            <w:r>
              <w:rPr>
                <w:sz w:val="18"/>
              </w:rPr>
              <w:t>Equity Risk Premium</w:t>
            </w:r>
          </w:p>
        </w:tc>
        <w:tc>
          <w:tcPr>
            <w:tcW w:type="dxa" w:w="2880"/>
          </w:tcPr>
          <w:p>
            <w:r>
              <w:rPr>
                <w:sz w:val="18"/>
              </w:rPr>
              <w:t>0–20%</w:t>
            </w:r>
          </w:p>
        </w:tc>
      </w:tr>
      <w:tr>
        <w:tc>
          <w:tcPr>
            <w:tcW w:type="dxa" w:w="2880"/>
          </w:tcPr>
          <w:p>
            <w:r>
              <w:rPr>
                <w:sz w:val="18"/>
              </w:rPr>
              <w:t>HB-5</w:t>
            </w:r>
          </w:p>
        </w:tc>
        <w:tc>
          <w:tcPr>
            <w:tcW w:type="dxa" w:w="2880"/>
          </w:tcPr>
          <w:p>
            <w:r>
              <w:rPr>
                <w:sz w:val="18"/>
              </w:rPr>
              <w:t>Cost of Debt</w:t>
            </w:r>
          </w:p>
        </w:tc>
        <w:tc>
          <w:tcPr>
            <w:tcW w:type="dxa" w:w="2880"/>
          </w:tcPr>
          <w:p>
            <w:r>
              <w:rPr>
                <w:sz w:val="18"/>
              </w:rPr>
              <w:t>0–50%</w:t>
            </w:r>
          </w:p>
        </w:tc>
      </w:tr>
      <w:tr>
        <w:tc>
          <w:tcPr>
            <w:tcW w:type="dxa" w:w="2880"/>
          </w:tcPr>
          <w:p>
            <w:r>
              <w:rPr>
                <w:sz w:val="18"/>
              </w:rPr>
              <w:t>HB-6</w:t>
            </w:r>
          </w:p>
        </w:tc>
        <w:tc>
          <w:tcPr>
            <w:tcW w:type="dxa" w:w="2880"/>
          </w:tcPr>
          <w:p>
            <w:r>
              <w:rPr>
                <w:sz w:val="18"/>
              </w:rPr>
              <w:t>Terminal Growth &lt; WACC</w:t>
            </w:r>
          </w:p>
        </w:tc>
        <w:tc>
          <w:tcPr>
            <w:tcW w:type="dxa" w:w="2880"/>
          </w:tcPr>
          <w:p>
            <w:r>
              <w:rPr>
                <w:sz w:val="18"/>
              </w:rPr>
              <w:t>g &lt; WACC (hard block)</w:t>
            </w:r>
          </w:p>
        </w:tc>
      </w:tr>
      <w:tr>
        <w:tc>
          <w:tcPr>
            <w:tcW w:type="dxa" w:w="2880"/>
          </w:tcPr>
          <w:p>
            <w:r>
              <w:rPr>
                <w:sz w:val="18"/>
              </w:rPr>
              <w:t>HB-7</w:t>
            </w:r>
          </w:p>
        </w:tc>
        <w:tc>
          <w:tcPr>
            <w:tcW w:type="dxa" w:w="2880"/>
          </w:tcPr>
          <w:p>
            <w:r>
              <w:rPr>
                <w:sz w:val="18"/>
              </w:rPr>
              <w:t>Shares Outstanding &gt; 0</w:t>
            </w:r>
          </w:p>
        </w:tc>
        <w:tc>
          <w:tcPr>
            <w:tcW w:type="dxa" w:w="2880"/>
          </w:tcPr>
          <w:p>
            <w:r>
              <w:rPr>
                <w:sz w:val="18"/>
              </w:rPr>
              <w:t>&gt; 0</w:t>
            </w:r>
          </w:p>
        </w:tc>
      </w:tr>
      <w:tr>
        <w:tc>
          <w:tcPr>
            <w:tcW w:type="dxa" w:w="2880"/>
          </w:tcPr>
          <w:p>
            <w:r>
              <w:rPr>
                <w:sz w:val="18"/>
              </w:rPr>
              <w:t>HB-8</w:t>
            </w:r>
          </w:p>
        </w:tc>
        <w:tc>
          <w:tcPr>
            <w:tcW w:type="dxa" w:w="2880"/>
          </w:tcPr>
          <w:p>
            <w:r>
              <w:rPr>
                <w:sz w:val="18"/>
              </w:rPr>
              <w:t>Projection Years ∈ {3,5,7,10}</w:t>
            </w:r>
          </w:p>
        </w:tc>
        <w:tc>
          <w:tcPr>
            <w:tcW w:type="dxa" w:w="2880"/>
          </w:tcPr>
          <w:p>
            <w:r>
              <w:rPr>
                <w:sz w:val="18"/>
              </w:rPr>
              <w:t>Fixed set</w:t>
            </w:r>
          </w:p>
        </w:tc>
      </w:tr>
    </w:tbl>
    <w:p>
      <w:pPr>
        <w:pStyle w:val="Heading2"/>
      </w:pPr>
      <w:r>
        <w:t>Soft Warnings (Calculation Proceeds)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sz w:val="18"/>
              </w:rPr>
              <w:t>ID</w:t>
            </w:r>
          </w:p>
        </w:tc>
        <w:tc>
          <w:tcPr>
            <w:tcW w:type="dxa" w:w="4320"/>
          </w:tcPr>
          <w:p>
            <w:r>
              <w:rPr>
                <w:b/>
                <w:sz w:val="18"/>
              </w:rPr>
              <w:t>Rule</w:t>
            </w:r>
          </w:p>
        </w:tc>
      </w:tr>
      <w:tr>
        <w:tc>
          <w:tcPr>
            <w:tcW w:type="dxa" w:w="4320"/>
          </w:tcPr>
          <w:p>
            <w:r>
              <w:rPr>
                <w:sz w:val="18"/>
              </w:rPr>
              <w:t>W-1</w:t>
            </w:r>
          </w:p>
        </w:tc>
        <w:tc>
          <w:tcPr>
            <w:tcW w:type="dxa" w:w="4320"/>
          </w:tcPr>
          <w:p>
            <w:r>
              <w:rPr>
                <w:sz w:val="18"/>
              </w:rPr>
              <w:t>Negative EBITDA — distress signal</w:t>
            </w:r>
          </w:p>
        </w:tc>
      </w:tr>
      <w:tr>
        <w:tc>
          <w:tcPr>
            <w:tcW w:type="dxa" w:w="4320"/>
          </w:tcPr>
          <w:p>
            <w:r>
              <w:rPr>
                <w:sz w:val="18"/>
              </w:rPr>
              <w:t>W-2</w:t>
            </w:r>
          </w:p>
        </w:tc>
        <w:tc>
          <w:tcPr>
            <w:tcW w:type="dxa" w:w="4320"/>
          </w:tcPr>
          <w:p>
            <w:r>
              <w:rPr>
                <w:sz w:val="18"/>
              </w:rPr>
              <w:t>Beta outside 0–2.5</w:t>
            </w:r>
          </w:p>
        </w:tc>
      </w:tr>
      <w:tr>
        <w:tc>
          <w:tcPr>
            <w:tcW w:type="dxa" w:w="4320"/>
          </w:tcPr>
          <w:p>
            <w:r>
              <w:rPr>
                <w:sz w:val="18"/>
              </w:rPr>
              <w:t>W-3</w:t>
            </w:r>
          </w:p>
        </w:tc>
        <w:tc>
          <w:tcPr>
            <w:tcW w:type="dxa" w:w="4320"/>
          </w:tcPr>
          <w:p>
            <w:r>
              <w:rPr>
                <w:sz w:val="18"/>
              </w:rPr>
              <w:t>Terminal growth &gt; 10%</w:t>
            </w:r>
          </w:p>
        </w:tc>
      </w:tr>
      <w:tr>
        <w:tc>
          <w:tcPr>
            <w:tcW w:type="dxa" w:w="4320"/>
          </w:tcPr>
          <w:p>
            <w:r>
              <w:rPr>
                <w:sz w:val="18"/>
              </w:rPr>
              <w:t>W-4</w:t>
            </w:r>
          </w:p>
        </w:tc>
        <w:tc>
          <w:tcPr>
            <w:tcW w:type="dxa" w:w="4320"/>
          </w:tcPr>
          <w:p>
            <w:r>
              <w:rPr>
                <w:sz w:val="18"/>
              </w:rPr>
              <w:t>CapEx &lt; D&amp;A — underinvestment</w:t>
            </w:r>
          </w:p>
        </w:tc>
      </w:tr>
      <w:tr>
        <w:tc>
          <w:tcPr>
            <w:tcW w:type="dxa" w:w="4320"/>
          </w:tcPr>
          <w:p>
            <w:r>
              <w:rPr>
                <w:sz w:val="18"/>
              </w:rPr>
              <w:t>W-5</w:t>
            </w:r>
          </w:p>
        </w:tc>
        <w:tc>
          <w:tcPr>
            <w:tcW w:type="dxa" w:w="4320"/>
          </w:tcPr>
          <w:p>
            <w:r>
              <w:rPr>
                <w:sz w:val="18"/>
              </w:rPr>
              <w:t>Interest Coverage &lt; 1.5x</w:t>
            </w:r>
          </w:p>
        </w:tc>
      </w:tr>
      <w:tr>
        <w:tc>
          <w:tcPr>
            <w:tcW w:type="dxa" w:w="4320"/>
          </w:tcPr>
          <w:p>
            <w:r>
              <w:rPr>
                <w:sz w:val="18"/>
              </w:rPr>
              <w:t>W-6</w:t>
            </w:r>
          </w:p>
        </w:tc>
        <w:tc>
          <w:tcPr>
            <w:tcW w:type="dxa" w:w="4320"/>
          </w:tcPr>
          <w:p>
            <w:r>
              <w:rPr>
                <w:sz w:val="18"/>
              </w:rPr>
              <w:t>Dividend payout &gt; 100%</w:t>
            </w:r>
          </w:p>
        </w:tc>
      </w:tr>
      <w:tr>
        <w:tc>
          <w:tcPr>
            <w:tcW w:type="dxa" w:w="4320"/>
          </w:tcPr>
          <w:p>
            <w:r>
              <w:rPr>
                <w:sz w:val="18"/>
              </w:rPr>
              <w:t>W-7</w:t>
            </w:r>
          </w:p>
        </w:tc>
        <w:tc>
          <w:tcPr>
            <w:tcW w:type="dxa" w:w="4320"/>
          </w:tcPr>
          <w:p>
            <w:r>
              <w:rPr>
                <w:sz w:val="18"/>
              </w:rPr>
              <w:t>Revenue growth &gt; 25%</w:t>
            </w:r>
          </w:p>
        </w:tc>
      </w:tr>
      <w:tr>
        <w:tc>
          <w:tcPr>
            <w:tcW w:type="dxa" w:w="4320"/>
          </w:tcPr>
          <w:p>
            <w:r>
              <w:rPr>
                <w:sz w:val="18"/>
              </w:rPr>
              <w:t>W-8</w:t>
            </w:r>
          </w:p>
        </w:tc>
        <w:tc>
          <w:tcPr>
            <w:tcW w:type="dxa" w:w="4320"/>
          </w:tcPr>
          <w:p>
            <w:r>
              <w:rPr>
                <w:sz w:val="18"/>
              </w:rPr>
              <w:t>Terminal Value &gt; 85% of EV</w:t>
            </w:r>
          </w:p>
        </w:tc>
      </w:tr>
      <w:tr>
        <w:tc>
          <w:tcPr>
            <w:tcW w:type="dxa" w:w="4320"/>
          </w:tcPr>
          <w:p>
            <w:r>
              <w:rPr>
                <w:sz w:val="18"/>
              </w:rPr>
              <w:t>W-9</w:t>
            </w:r>
          </w:p>
        </w:tc>
        <w:tc>
          <w:tcPr>
            <w:tcW w:type="dxa" w:w="4320"/>
          </w:tcPr>
          <w:p>
            <w:r>
              <w:rPr>
                <w:sz w:val="18"/>
              </w:rPr>
              <w:t>Negative book equity</w:t>
            </w:r>
          </w:p>
        </w:tc>
      </w:tr>
    </w:tbl>
    <w:p>
      <w:pPr>
        <w:pStyle w:val="Heading2"/>
      </w:pPr>
      <w:r>
        <w:t>Edge Cases (Auto-Handled)</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Case</w:t>
            </w:r>
          </w:p>
        </w:tc>
        <w:tc>
          <w:tcPr>
            <w:tcW w:type="dxa" w:w="2880"/>
          </w:tcPr>
          <w:p>
            <w:r>
              <w:rPr>
                <w:b/>
                <w:sz w:val="18"/>
              </w:rPr>
              <w:t>Engine Behavior</w:t>
            </w:r>
          </w:p>
        </w:tc>
      </w:tr>
      <w:tr>
        <w:tc>
          <w:tcPr>
            <w:tcW w:type="dxa" w:w="2880"/>
          </w:tcPr>
          <w:p>
            <w:r>
              <w:rPr>
                <w:sz w:val="18"/>
              </w:rPr>
              <w:t>EC-1</w:t>
            </w:r>
          </w:p>
        </w:tc>
        <w:tc>
          <w:tcPr>
            <w:tcW w:type="dxa" w:w="2880"/>
          </w:tcPr>
          <w:p>
            <w:r>
              <w:rPr>
                <w:sz w:val="18"/>
              </w:rPr>
              <w:t>All-equity firm (no debt)</w:t>
            </w:r>
          </w:p>
        </w:tc>
        <w:tc>
          <w:tcPr>
            <w:tcW w:type="dxa" w:w="2880"/>
          </w:tcPr>
          <w:p>
            <w:r>
              <w:rPr>
                <w:sz w:val="18"/>
              </w:rPr>
              <w:t>WACC = Ke</w:t>
            </w:r>
          </w:p>
        </w:tc>
      </w:tr>
      <w:tr>
        <w:tc>
          <w:tcPr>
            <w:tcW w:type="dxa" w:w="2880"/>
          </w:tcPr>
          <w:p>
            <w:r>
              <w:rPr>
                <w:sz w:val="18"/>
              </w:rPr>
              <w:t>EC-2</w:t>
            </w:r>
          </w:p>
        </w:tc>
        <w:tc>
          <w:tcPr>
            <w:tcW w:type="dxa" w:w="2880"/>
          </w:tcPr>
          <w:p>
            <w:r>
              <w:rPr>
                <w:sz w:val="18"/>
              </w:rPr>
              <w:t>Net cash position</w:t>
            </w:r>
          </w:p>
        </w:tc>
        <w:tc>
          <w:tcPr>
            <w:tcW w:type="dxa" w:w="2880"/>
          </w:tcPr>
          <w:p>
            <w:r>
              <w:rPr>
                <w:sz w:val="18"/>
              </w:rPr>
              <w:t>EV &lt; Market Cap</w:t>
            </w:r>
          </w:p>
        </w:tc>
      </w:tr>
      <w:tr>
        <w:tc>
          <w:tcPr>
            <w:tcW w:type="dxa" w:w="2880"/>
          </w:tcPr>
          <w:p>
            <w:r>
              <w:rPr>
                <w:sz w:val="18"/>
              </w:rPr>
              <w:t>EC-3</w:t>
            </w:r>
          </w:p>
        </w:tc>
        <w:tc>
          <w:tcPr>
            <w:tcW w:type="dxa" w:w="2880"/>
          </w:tcPr>
          <w:p>
            <w:r>
              <w:rPr>
                <w:sz w:val="18"/>
              </w:rPr>
              <w:t>Zero dividends</w:t>
            </w:r>
          </w:p>
        </w:tc>
        <w:tc>
          <w:tcPr>
            <w:tcW w:type="dxa" w:w="2880"/>
          </w:tcPr>
          <w:p>
            <w:r>
              <w:rPr>
                <w:sz w:val="18"/>
              </w:rPr>
              <w:t>DDM returns N/A</w:t>
            </w:r>
          </w:p>
        </w:tc>
      </w:tr>
      <w:tr>
        <w:tc>
          <w:tcPr>
            <w:tcW w:type="dxa" w:w="2880"/>
          </w:tcPr>
          <w:p>
            <w:r>
              <w:rPr>
                <w:sz w:val="18"/>
              </w:rPr>
              <w:t>EC-4</w:t>
            </w:r>
          </w:p>
        </w:tc>
        <w:tc>
          <w:tcPr>
            <w:tcW w:type="dxa" w:w="2880"/>
          </w:tcPr>
          <w:p>
            <w:r>
              <w:rPr>
                <w:sz w:val="18"/>
              </w:rPr>
              <w:t>WACC &gt; 30%</w:t>
            </w:r>
          </w:p>
        </w:tc>
        <w:tc>
          <w:tcPr>
            <w:tcW w:type="dxa" w:w="2880"/>
          </w:tcPr>
          <w:p>
            <w:r>
              <w:rPr>
                <w:sz w:val="18"/>
              </w:rPr>
              <w:t>Normal for Egypt — no adjustment</w:t>
            </w:r>
          </w:p>
        </w:tc>
      </w:tr>
      <w:tr>
        <w:tc>
          <w:tcPr>
            <w:tcW w:type="dxa" w:w="2880"/>
          </w:tcPr>
          <w:p>
            <w:r>
              <w:rPr>
                <w:sz w:val="18"/>
              </w:rPr>
              <w:t>EC-5</w:t>
            </w:r>
          </w:p>
        </w:tc>
        <w:tc>
          <w:tcPr>
            <w:tcW w:type="dxa" w:w="2880"/>
          </w:tcPr>
          <w:p>
            <w:r>
              <w:rPr>
                <w:sz w:val="18"/>
              </w:rPr>
              <w:t>Exit multiple method</w:t>
            </w:r>
          </w:p>
        </w:tc>
        <w:tc>
          <w:tcPr>
            <w:tcW w:type="dxa" w:w="2880"/>
          </w:tcPr>
          <w:p>
            <w:r>
              <w:rPr>
                <w:sz w:val="18"/>
              </w:rPr>
              <w:t>TV = EBITDA × multiple (not Gordon)</w:t>
            </w:r>
          </w:p>
        </w:tc>
      </w:tr>
    </w:tbl>
    <w:p>
      <w:r>
        <w:br w:type="page"/>
      </w:r>
    </w:p>
    <w:p>
      <w:pPr>
        <w:pStyle w:val="Heading1"/>
      </w:pPr>
      <w:r>
        <w:t>21. API Integration (FMP Stable API)</w:t>
      </w:r>
    </w:p>
    <w:p>
      <w:r>
        <w:t>File: src/services/stockAPI.ts (729 lines)</w:t>
      </w:r>
    </w:p>
    <w:p>
      <w:pPr>
        <w:pStyle w:val="Heading2"/>
      </w:pPr>
      <w:r>
        <w:t>Architecture</w:t>
      </w:r>
    </w:p>
    <w:p>
      <w:r>
        <w:t>Uses Financial Modeling Prep (FMP) NEW Stable API (2026 format) with query parameters. All four endpoints are fetched in parallel via Promise.all for speed.</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sz w:val="18"/>
              </w:rPr>
              <w:t>Endpoint</w:t>
            </w:r>
          </w:p>
        </w:tc>
        <w:tc>
          <w:tcPr>
            <w:tcW w:type="dxa" w:w="4320"/>
          </w:tcPr>
          <w:p>
            <w:r>
              <w:rPr>
                <w:b/>
                <w:sz w:val="18"/>
              </w:rPr>
              <w:t>Data Retrieved</w:t>
            </w:r>
          </w:p>
        </w:tc>
      </w:tr>
      <w:tr>
        <w:tc>
          <w:tcPr>
            <w:tcW w:type="dxa" w:w="4320"/>
          </w:tcPr>
          <w:p>
            <w:r>
              <w:rPr>
                <w:sz w:val="18"/>
              </w:rPr>
              <w:t>profile</w:t>
            </w:r>
          </w:p>
        </w:tc>
        <w:tc>
          <w:tcPr>
            <w:tcW w:type="dxa" w:w="4320"/>
          </w:tcPr>
          <w:p>
            <w:r>
              <w:rPr>
                <w:sz w:val="18"/>
              </w:rPr>
              <w:t>Company name, price, market cap, beta, shares outstanding, sector</w:t>
            </w:r>
          </w:p>
        </w:tc>
      </w:tr>
      <w:tr>
        <w:tc>
          <w:tcPr>
            <w:tcW w:type="dxa" w:w="4320"/>
          </w:tcPr>
          <w:p>
            <w:r>
              <w:rPr>
                <w:sz w:val="18"/>
              </w:rPr>
              <w:t>income-statement</w:t>
            </w:r>
          </w:p>
        </w:tc>
        <w:tc>
          <w:tcPr>
            <w:tcW w:type="dxa" w:w="4320"/>
          </w:tcPr>
          <w:p>
            <w:r>
              <w:rPr>
                <w:sz w:val="18"/>
              </w:rPr>
              <w:t>Revenue, COGS, EBIT, Interest, Tax, Net Income, D&amp;A, EBITDA</w:t>
            </w:r>
          </w:p>
        </w:tc>
      </w:tr>
      <w:tr>
        <w:tc>
          <w:tcPr>
            <w:tcW w:type="dxa" w:w="4320"/>
          </w:tcPr>
          <w:p>
            <w:r>
              <w:rPr>
                <w:sz w:val="18"/>
              </w:rPr>
              <w:t>balance-sheet-statement</w:t>
            </w:r>
          </w:p>
        </w:tc>
        <w:tc>
          <w:tcPr>
            <w:tcW w:type="dxa" w:w="4320"/>
          </w:tcPr>
          <w:p>
            <w:r>
              <w:rPr>
                <w:sz w:val="18"/>
              </w:rPr>
              <w:t>All asset/liability/equity line items</w:t>
            </w:r>
          </w:p>
        </w:tc>
      </w:tr>
      <w:tr>
        <w:tc>
          <w:tcPr>
            <w:tcW w:type="dxa" w:w="4320"/>
          </w:tcPr>
          <w:p>
            <w:r>
              <w:rPr>
                <w:sz w:val="18"/>
              </w:rPr>
              <w:t>cash-flow-statement</w:t>
            </w:r>
          </w:p>
        </w:tc>
        <w:tc>
          <w:tcPr>
            <w:tcW w:type="dxa" w:w="4320"/>
          </w:tcPr>
          <w:p>
            <w:r>
              <w:rPr>
                <w:sz w:val="18"/>
              </w:rPr>
              <w:t>Operating CF, CapEx, FCF, Dividends Paid, Net Change in Cash</w:t>
            </w:r>
          </w:p>
        </w:tc>
      </w:tr>
    </w:tbl>
    <w:p>
      <w:pPr>
        <w:pStyle w:val="Heading2"/>
      </w:pPr>
      <w:r>
        <w:t>Smart Data Handling</w:t>
      </w:r>
    </w:p>
    <w:p>
      <w:pPr>
        <w:pStyle w:val="ListBullet"/>
      </w:pPr>
      <w:r>
        <w:rPr>
          <w:b/>
        </w:rPr>
        <w:t>Shares</w:t>
      </w:r>
      <w:r>
        <w:t>: Shares Outstanding fallback chain: profile.sharesOutstanding → mktCap/price → 1B default</w:t>
      </w:r>
    </w:p>
    <w:p>
      <w:pPr>
        <w:pStyle w:val="ListBullet"/>
      </w:pPr>
      <w:r>
        <w:rPr>
          <w:b/>
        </w:rPr>
        <w:t>Interest</w:t>
      </w:r>
      <w:r>
        <w:t>: If API reports 0 interest but debt exists, assumes 2.8% implied cost</w:t>
      </w:r>
    </w:p>
    <w:p>
      <w:pPr>
        <w:pStyle w:val="ListBullet"/>
      </w:pPr>
      <w:r>
        <w:rPr>
          <w:b/>
        </w:rPr>
        <w:t>Banks</w:t>
      </w:r>
      <w:r>
        <w:t>: If sector is Financial and COGS=0, recalculates Gross Profit as Revenue − Interest Expense</w:t>
      </w:r>
    </w:p>
    <w:p>
      <w:pPr>
        <w:pStyle w:val="ListBullet"/>
      </w:pPr>
      <w:r>
        <w:rPr>
          <w:b/>
        </w:rPr>
        <w:t>Egyptian Stocks</w:t>
      </w:r>
      <w:r>
        <w:t>: .CA suffix auto-sets market to Egypt with Egyptian defaults</w:t>
      </w:r>
    </w:p>
    <w:p>
      <w:pPr>
        <w:pStyle w:val="ListBullet"/>
      </w:pPr>
      <w:r>
        <w:rPr>
          <w:b/>
        </w:rPr>
        <w:t>LT Investments</w:t>
      </w:r>
      <w:r>
        <w:t>: If unclassified non-current assets &gt; 40% of total, reclassifies as Long-term Investments</w:t>
      </w:r>
    </w:p>
    <w:p>
      <w:pPr>
        <w:pStyle w:val="ListBullet"/>
      </w:pPr>
      <w:r>
        <w:rPr>
          <w:b/>
        </w:rPr>
        <w:t>Dividends</w:t>
      </w:r>
      <w:r>
        <w:t>: FMP reports outflows as negative — engine stores dividends/capex as positive</w:t>
      </w:r>
    </w:p>
    <w:p>
      <w:pPr>
        <w:pStyle w:val="Heading2"/>
      </w:pPr>
      <w:r>
        <w:t>Peer Company System</w:t>
      </w:r>
    </w:p>
    <w:p>
      <w:r>
        <w:t>Pre-configured peer groups for both US (AAPL, MSFT, GOOGL, etc.) and Egyptian companies (COMI.CA, ETEL.CA, EFID.CA, TMGH.CA). Auto-suggests peers based on ticker lookup. Fetches ratios-ttm endpoint for live multiples.</w:t>
      </w:r>
    </w:p>
    <w:p>
      <w:r>
        <w:br w:type="page"/>
      </w:r>
    </w:p>
    <w:p>
      <w:pPr>
        <w:pStyle w:val="Heading1"/>
      </w:pPr>
      <w:r>
        <w:t>22. State Management &amp; Hooks</w:t>
      </w:r>
    </w:p>
    <w:p>
      <w:pPr>
        <w:pStyle w:val="Heading2"/>
      </w:pPr>
      <w:r>
        <w:t>useFinancialData (215 lines)</w:t>
      </w:r>
    </w:p>
    <w:p>
      <w:pPr>
        <w:pStyle w:val="ListBullet"/>
      </w:pPr>
      <w:r>
        <w:t>Manages financialData, assumptions, and comparables state</w:t>
      </w:r>
    </w:p>
    <w:p>
      <w:pPr>
        <w:pStyle w:val="ListBullet"/>
      </w:pPr>
      <w:r>
        <w:t>Every update saves to undo/redo history stack</w:t>
      </w:r>
    </w:p>
    <w:p>
      <w:pPr>
        <w:pStyle w:val="ListBullet"/>
      </w:pPr>
      <w:r>
        <w:t>Auto-saves to localStorage with 1-second debounce</w:t>
      </w:r>
    </w:p>
    <w:p>
      <w:pPr>
        <w:pStyle w:val="ListBullet"/>
      </w:pPr>
      <w:r>
        <w:t>handleStockDataFetched: auto-detects Egyptian stocks (.CA suffix), sets market defaults, calculates tax rate and WACC from API data</w:t>
      </w:r>
    </w:p>
    <w:p>
      <w:pPr>
        <w:pStyle w:val="Heading2"/>
      </w:pPr>
      <w:r>
        <w:t>useValuationCalculations (209 lines)</w:t>
      </w:r>
    </w:p>
    <w:p>
      <w:pPr>
        <w:pStyle w:val="ListBullet"/>
      </w:pPr>
      <w:r>
        <w:t>All calculations wrapped in useMemo — only recompute when inputs change</w:t>
      </w:r>
    </w:p>
    <w:p>
      <w:pPr>
        <w:pStyle w:val="ListBullet"/>
      </w:pPr>
      <w:r>
        <w:t>Applies both Scenario (Bear/Base/Bull) AND Valuation Style (Conservative/Moderate/Aggressive) multipliers</w:t>
      </w:r>
    </w:p>
    <w:p>
      <w:pPr>
        <w:pStyle w:val="ListBullet"/>
      </w:pPr>
      <w:r>
        <w:t>Generates Football Field chart data across DCF, P/E, EV/EBITDA, DDM, P/B, and Blended methods</w:t>
      </w:r>
    </w:p>
    <w:p>
      <w:pPr>
        <w:pStyle w:val="ListBullet"/>
      </w:pPr>
      <w:r>
        <w:t>Auto-detects financial sector companies and hides EV/EBITDA bar from Football Field chart</w:t>
      </w:r>
    </w:p>
    <w:p>
      <w:pPr>
        <w:pStyle w:val="Heading2"/>
      </w:pPr>
      <w:r>
        <w:t>useHistory, useTheme, useKeyboardShortcuts</w:t>
      </w:r>
    </w:p>
    <w:p>
      <w:pPr>
        <w:pStyle w:val="ListBullet"/>
      </w:pPr>
      <w:r>
        <w:rPr>
          <w:b/>
        </w:rPr>
        <w:t>useHistory</w:t>
      </w:r>
      <w:r>
        <w:t>: 50-state undo/redo stack with Ctrl+Z/Ctrl+Y</w:t>
      </w:r>
    </w:p>
    <w:p>
      <w:pPr>
        <w:pStyle w:val="ListBullet"/>
      </w:pPr>
      <w:r>
        <w:rPr>
          <w:b/>
        </w:rPr>
        <w:t>useTheme</w:t>
      </w:r>
      <w:r>
        <w:t>: Persisted dark/light mode toggle</w:t>
      </w:r>
    </w:p>
    <w:p>
      <w:pPr>
        <w:pStyle w:val="ListBullet"/>
      </w:pPr>
      <w:r>
        <w:rPr>
          <w:b/>
        </w:rPr>
        <w:t>useKeyboardShortcuts</w:t>
      </w:r>
      <w:r>
        <w:t>: Ctrl+Z (undo), Ctrl+Y (redo), Ctrl+S (export PDF)</w:t>
      </w:r>
    </w:p>
    <w:p>
      <w:r>
        <w:br w:type="page"/>
      </w:r>
    </w:p>
    <w:p>
      <w:pPr>
        <w:pStyle w:val="Heading1"/>
      </w:pPr>
      <w:r>
        <w:t>23. Export Capabilities</w:t>
      </w:r>
    </w:p>
    <w:p>
      <w:pPr>
        <w:pStyle w:val="Heading2"/>
      </w:pPr>
      <w:r>
        <w:t>Excel Export (52K + 49K lines)</w:t>
      </w:r>
    </w:p>
    <w:p>
      <w:r>
        <w:t>Two versions: Standard (data-only) and Pro (with live Excel formulas).</w:t>
      </w:r>
    </w:p>
    <w:p>
      <w:pPr>
        <w:pStyle w:val="ListBullet"/>
      </w:pPr>
      <w:r>
        <w:t>Multi-sheet workbook: Dashboard, Income Statement, Balance Sheet, Cash Flow, DCF, Ratios, Scenarios, Sensitivity</w:t>
      </w:r>
    </w:p>
    <w:p>
      <w:pPr>
        <w:pStyle w:val="ListBullet"/>
      </w:pPr>
      <w:r>
        <w:t>Pro version uses _Calc sheets pattern for scenario switching</w:t>
      </w:r>
    </w:p>
    <w:p>
      <w:pPr>
        <w:pStyle w:val="ListBullet"/>
      </w:pPr>
      <w:r>
        <w:t>Egyptian profit waterfall formulas (Legal Reserve, EPD, Dividends, Retained Earnings) replicated in Excel</w:t>
      </w:r>
    </w:p>
    <w:p>
      <w:pPr>
        <w:pStyle w:val="ListBullet"/>
      </w:pPr>
      <w:r>
        <w:t>Color-coded formatting with conditional color scales</w:t>
      </w:r>
    </w:p>
    <w:p>
      <w:pPr>
        <w:pStyle w:val="Heading2"/>
      </w:pPr>
      <w:r>
        <w:t>PDF Export (80K lines)</w:t>
      </w:r>
    </w:p>
    <w:p>
      <w:pPr>
        <w:pStyle w:val="ListBullet"/>
      </w:pPr>
      <w:r>
        <w:t>Professional multi-page report with cover page, table of contents, and charts</w:t>
      </w:r>
    </w:p>
    <w:p>
      <w:pPr>
        <w:pStyle w:val="ListBullet"/>
      </w:pPr>
      <w:r>
        <w:t>Includes all valuation results, sensitivity matrix, scenario analysis, and financial ratios</w:t>
      </w:r>
    </w:p>
    <w:p>
      <w:pPr>
        <w:pStyle w:val="Heading2"/>
      </w:pPr>
      <w:r>
        <w:t>JSON Export</w:t>
      </w:r>
    </w:p>
    <w:p>
      <w:pPr>
        <w:pStyle w:val="ListBullet"/>
      </w:pPr>
      <w:r>
        <w:t>Structured ValuationJSON schema with metadata (engine version, date, currency, CAPM method)</w:t>
      </w:r>
    </w:p>
    <w:p>
      <w:pPr>
        <w:pStyle w:val="ListBullet"/>
      </w:pPr>
      <w:r>
        <w:t>Full export of all inputs, calculated results, projections, and verification data</w:t>
      </w:r>
    </w:p>
    <w:p>
      <w:pPr>
        <w:pStyle w:val="ListBullet"/>
      </w:pPr>
      <w:r>
        <w:t>Designed for data portability and external system integration</w:t>
      </w:r>
    </w:p>
    <w:p>
      <w:r>
        <w:br w:type="page"/>
      </w:r>
    </w:p>
    <w:p>
      <w:pPr>
        <w:pStyle w:val="Heading1"/>
      </w:pPr>
      <w:r>
        <w:t>24. UI Components &amp; Architecture</w:t>
      </w:r>
    </w:p>
    <w:p>
      <w:r>
        <w:t>The app uses 3 lazy-loaded tab views with React.lazy() and Suspense for code splitting:</w:t>
      </w:r>
    </w:p>
    <w:p>
      <w:pPr>
        <w:pStyle w:val="Heading2"/>
      </w:pPr>
      <w:r>
        <w:t>Tab Architecture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Tab</w:t>
            </w:r>
          </w:p>
        </w:tc>
        <w:tc>
          <w:tcPr>
            <w:tcW w:type="dxa" w:w="2880"/>
          </w:tcPr>
          <w:p>
            <w:r>
              <w:rPr>
                <w:b/>
                <w:sz w:val="18"/>
              </w:rPr>
              <w:t>Component</w:t>
            </w:r>
          </w:p>
        </w:tc>
        <w:tc>
          <w:tcPr>
            <w:tcW w:type="dxa" w:w="2880"/>
          </w:tcPr>
          <w:p>
            <w:r>
              <w:rPr>
                <w:b/>
                <w:sz w:val="18"/>
              </w:rPr>
              <w:t>Contents</w:t>
            </w:r>
          </w:p>
        </w:tc>
      </w:tr>
      <w:tr>
        <w:tc>
          <w:tcPr>
            <w:tcW w:type="dxa" w:w="2880"/>
          </w:tcPr>
          <w:p>
            <w:r>
              <w:rPr>
                <w:sz w:val="18"/>
              </w:rPr>
              <w:t>Input</w:t>
            </w:r>
          </w:p>
        </w:tc>
        <w:tc>
          <w:tcPr>
            <w:tcW w:type="dxa" w:w="2880"/>
          </w:tcPr>
          <w:p>
            <w:r>
              <w:rPr>
                <w:sz w:val="18"/>
              </w:rPr>
              <w:t>InputTab</w:t>
            </w:r>
          </w:p>
        </w:tc>
        <w:tc>
          <w:tcPr>
            <w:tcW w:type="dxa" w:w="2880"/>
          </w:tcPr>
          <w:p>
            <w:r>
              <w:rPr>
                <w:sz w:val="18"/>
              </w:rPr>
              <w:t>Stock search, financial data forms, assumptions panel, comparable companies</w:t>
            </w:r>
          </w:p>
        </w:tc>
      </w:tr>
      <w:tr>
        <w:tc>
          <w:tcPr>
            <w:tcW w:type="dxa" w:w="2880"/>
          </w:tcPr>
          <w:p>
            <w:r>
              <w:rPr>
                <w:sz w:val="18"/>
              </w:rPr>
              <w:t>Valuation</w:t>
            </w:r>
          </w:p>
        </w:tc>
        <w:tc>
          <w:tcPr>
            <w:tcW w:type="dxa" w:w="2880"/>
          </w:tcPr>
          <w:p>
            <w:r>
              <w:rPr>
                <w:sz w:val="18"/>
              </w:rPr>
              <w:t>ValuationTab</w:t>
            </w:r>
          </w:p>
        </w:tc>
        <w:tc>
          <w:tcPr>
            <w:tcW w:type="dxa" w:w="2880"/>
          </w:tcPr>
          <w:p>
            <w:r>
              <w:rPr>
                <w:sz w:val="18"/>
              </w:rPr>
              <w:t>DCF results, DDM, Comps, Blended, Sensitivity matrix, Scenarios, Football Field, Quality Scorecard, Confidence Score</w:t>
            </w:r>
          </w:p>
        </w:tc>
      </w:tr>
      <w:tr>
        <w:tc>
          <w:tcPr>
            <w:tcW w:type="dxa" w:w="2880"/>
          </w:tcPr>
          <w:p>
            <w:r>
              <w:rPr>
                <w:sz w:val="18"/>
              </w:rPr>
              <w:t>Charts</w:t>
            </w:r>
          </w:p>
        </w:tc>
        <w:tc>
          <w:tcPr>
            <w:tcW w:type="dxa" w:w="2880"/>
          </w:tcPr>
          <w:p>
            <w:r>
              <w:rPr>
                <w:sz w:val="18"/>
              </w:rPr>
              <w:t>ChartsTab</w:t>
            </w:r>
          </w:p>
        </w:tc>
        <w:tc>
          <w:tcPr>
            <w:tcW w:type="dxa" w:w="2880"/>
          </w:tcPr>
          <w:p>
            <w:r>
              <w:rPr>
                <w:sz w:val="18"/>
              </w:rPr>
              <w:t>Revenue/FCF projection charts, Valuation comparison bar chart, Monte Carlo histogram, Sector benchmark radar</w:t>
            </w:r>
          </w:p>
        </w:tc>
      </w:tr>
    </w:tbl>
    <w:p>
      <w:pPr>
        <w:pStyle w:val="Heading2"/>
      </w:pPr>
      <w:r>
        <w:t>Key Components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sz w:val="18"/>
              </w:rPr>
              <w:t>Component</w:t>
            </w:r>
          </w:p>
        </w:tc>
        <w:tc>
          <w:tcPr>
            <w:tcW w:type="dxa" w:w="4320"/>
          </w:tcPr>
          <w:p>
            <w:r>
              <w:rPr>
                <w:b/>
                <w:sz w:val="18"/>
              </w:rPr>
              <w:t>Purpose</w:t>
            </w:r>
          </w:p>
        </w:tc>
      </w:tr>
      <w:tr>
        <w:tc>
          <w:tcPr>
            <w:tcW w:type="dxa" w:w="4320"/>
          </w:tcPr>
          <w:p>
            <w:r>
              <w:rPr>
                <w:sz w:val="18"/>
              </w:rPr>
              <w:t>StockSearch.tsx</w:t>
            </w:r>
          </w:p>
        </w:tc>
        <w:tc>
          <w:tcPr>
            <w:tcW w:type="dxa" w:w="4320"/>
          </w:tcPr>
          <w:p>
            <w:r>
              <w:rPr>
                <w:sz w:val="18"/>
              </w:rPr>
              <w:t>Ticker input with FMP API integration, auto-populate all financials</w:t>
            </w:r>
          </w:p>
        </w:tc>
      </w:tr>
      <w:tr>
        <w:tc>
          <w:tcPr>
            <w:tcW w:type="dxa" w:w="4320"/>
          </w:tcPr>
          <w:p>
            <w:r>
              <w:rPr>
                <w:sz w:val="18"/>
              </w:rPr>
              <w:t>AssumptionsPanel.tsx</w:t>
            </w:r>
          </w:p>
        </w:tc>
        <w:tc>
          <w:tcPr>
            <w:tcW w:type="dxa" w:w="4320"/>
          </w:tcPr>
          <w:p>
            <w:r>
              <w:rPr>
                <w:sz w:val="18"/>
              </w:rPr>
              <w:t>CAPM method toggle, beta type, tax category, projection drivers</w:t>
            </w:r>
          </w:p>
        </w:tc>
      </w:tr>
      <w:tr>
        <w:tc>
          <w:tcPr>
            <w:tcW w:type="dxa" w:w="4320"/>
          </w:tcPr>
          <w:p>
            <w:r>
              <w:rPr>
                <w:sz w:val="18"/>
              </w:rPr>
              <w:t>DCFResults.tsx</w:t>
            </w:r>
          </w:p>
        </w:tc>
        <w:tc>
          <w:tcPr>
            <w:tcW w:type="dxa" w:w="4320"/>
          </w:tcPr>
          <w:p>
            <w:r>
              <w:rPr>
                <w:sz w:val="18"/>
              </w:rPr>
              <w:t>Full DCF output with FCFF verification, TV breakdown, EV bridge</w:t>
            </w:r>
          </w:p>
        </w:tc>
      </w:tr>
      <w:tr>
        <w:tc>
          <w:tcPr>
            <w:tcW w:type="dxa" w:w="4320"/>
          </w:tcPr>
          <w:p>
            <w:r>
              <w:rPr>
                <w:sz w:val="18"/>
              </w:rPr>
              <w:t>ComparableCompanies.tsx</w:t>
            </w:r>
          </w:p>
        </w:tc>
        <w:tc>
          <w:tcPr>
            <w:tcW w:type="dxa" w:w="4320"/>
          </w:tcPr>
          <w:p>
            <w:r>
              <w:rPr>
                <w:sz w:val="18"/>
              </w:rPr>
              <w:t>Peer table with auto-fetch, median calculation</w:t>
            </w:r>
          </w:p>
        </w:tc>
      </w:tr>
      <w:tr>
        <w:tc>
          <w:tcPr>
            <w:tcW w:type="dxa" w:w="4320"/>
          </w:tcPr>
          <w:p>
            <w:r>
              <w:rPr>
                <w:sz w:val="18"/>
              </w:rPr>
              <w:t>FootballFieldChart.tsx</w:t>
            </w:r>
          </w:p>
        </w:tc>
        <w:tc>
          <w:tcPr>
            <w:tcW w:type="dxa" w:w="4320"/>
          </w:tcPr>
          <w:p>
            <w:r>
              <w:rPr>
                <w:sz w:val="18"/>
              </w:rPr>
              <w:t>Multi-method valuation range visualization</w:t>
            </w:r>
          </w:p>
        </w:tc>
      </w:tr>
      <w:tr>
        <w:tc>
          <w:tcPr>
            <w:tcW w:type="dxa" w:w="4320"/>
          </w:tcPr>
          <w:p>
            <w:r>
              <w:rPr>
                <w:sz w:val="18"/>
              </w:rPr>
              <w:t>KeyMetrics.tsx</w:t>
            </w:r>
          </w:p>
        </w:tc>
        <w:tc>
          <w:tcPr>
            <w:tcW w:type="dxa" w:w="4320"/>
          </w:tcPr>
          <w:p>
            <w:r>
              <w:rPr>
                <w:sz w:val="18"/>
              </w:rPr>
              <w:t>Financial ratios dashboard with color-coded ratings</w:t>
            </w:r>
          </w:p>
        </w:tc>
      </w:tr>
      <w:tr>
        <w:tc>
          <w:tcPr>
            <w:tcW w:type="dxa" w:w="4320"/>
          </w:tcPr>
          <w:p>
            <w:r>
              <w:rPr>
                <w:sz w:val="18"/>
              </w:rPr>
              <w:t>ValuationSummary.tsx</w:t>
            </w:r>
          </w:p>
        </w:tc>
        <w:tc>
          <w:tcPr>
            <w:tcW w:type="dxa" w:w="4320"/>
          </w:tcPr>
          <w:p>
            <w:r>
              <w:rPr>
                <w:sz w:val="18"/>
              </w:rPr>
              <w:t>Final verdict, blended value, upside/downside</w:t>
            </w:r>
          </w:p>
        </w:tc>
      </w:tr>
      <w:tr>
        <w:tc>
          <w:tcPr>
            <w:tcW w:type="dxa" w:w="4320"/>
          </w:tcPr>
          <w:p>
            <w:r>
              <w:rPr>
                <w:sz w:val="18"/>
              </w:rPr>
              <w:t>ScenarioToggle.tsx</w:t>
            </w:r>
          </w:p>
        </w:tc>
        <w:tc>
          <w:tcPr>
            <w:tcW w:type="dxa" w:w="4320"/>
          </w:tcPr>
          <w:p>
            <w:r>
              <w:rPr>
                <w:sz w:val="18"/>
              </w:rPr>
              <w:t>Bear/Base/Bull with multiplier presets</w:t>
            </w:r>
          </w:p>
        </w:tc>
      </w:tr>
      <w:tr>
        <w:tc>
          <w:tcPr>
            <w:tcW w:type="dxa" w:w="4320"/>
          </w:tcPr>
          <w:p>
            <w:r>
              <w:rPr>
                <w:sz w:val="18"/>
              </w:rPr>
              <w:t>AIReport.tsx</w:t>
            </w:r>
          </w:p>
        </w:tc>
        <w:tc>
          <w:tcPr>
            <w:tcW w:type="dxa" w:w="4320"/>
          </w:tcPr>
          <w:p>
            <w:r>
              <w:rPr>
                <w:sz w:val="18"/>
              </w:rPr>
              <w:t>AI-powered narrative analysis report</w:t>
            </w:r>
          </w:p>
        </w:tc>
      </w:tr>
      <w:tr>
        <w:tc>
          <w:tcPr>
            <w:tcW w:type="dxa" w:w="4320"/>
          </w:tcPr>
          <w:p>
            <w:r>
              <w:rPr>
                <w:sz w:val="18"/>
              </w:rPr>
              <w:t>Tooltip.tsx</w:t>
            </w:r>
          </w:p>
        </w:tc>
        <w:tc>
          <w:tcPr>
            <w:tcW w:type="dxa" w:w="4320"/>
          </w:tcPr>
          <w:p>
            <w:r>
              <w:rPr>
                <w:sz w:val="18"/>
              </w:rPr>
              <w:t>Educational tooltips with formula explanations</w:t>
            </w:r>
          </w:p>
        </w:tc>
      </w:tr>
      <w:tr>
        <w:tc>
          <w:tcPr>
            <w:tcW w:type="dxa" w:w="4320"/>
          </w:tcPr>
          <w:p>
            <w:r>
              <w:rPr>
                <w:sz w:val="18"/>
              </w:rPr>
              <w:t>WolfLogo.tsx</w:t>
            </w:r>
          </w:p>
        </w:tc>
        <w:tc>
          <w:tcPr>
            <w:tcW w:type="dxa" w:w="4320"/>
          </w:tcPr>
          <w:p>
            <w:r>
              <w:rPr>
                <w:sz w:val="18"/>
              </w:rPr>
              <w:t>Animated WOLF brand logo</w:t>
            </w:r>
          </w:p>
        </w:tc>
      </w:tr>
    </w:tbl>
    <w:p>
      <w:r>
        <w:br w:type="page"/>
      </w:r>
    </w:p>
    <w:p>
      <w:pPr>
        <w:pStyle w:val="Heading1"/>
      </w:pPr>
      <w:r>
        <w:t>25. Egyptian Regulatory Compliance</w:t>
      </w:r>
    </w:p>
    <w:p>
      <w:pPr>
        <w:pStyle w:val="Heading2"/>
      </w:pPr>
      <w:r>
        <w:t>Law 159/1981 — Profit Distribution Waterfall</w:t>
      </w:r>
    </w:p>
    <w:p>
      <w:pPr>
        <w:spacing w:before="80" w:after="80"/>
        <w:ind w:left="567"/>
      </w:pPr>
      <w:r>
        <w:rPr>
          <w:rFonts w:ascii="Consolas" w:hAnsi="Consolas"/>
          <w:color w:val="2D2D2D"/>
          <w:sz w:val="18"/>
        </w:rPr>
        <w:t>1. Net Income (After Corporate Tax)         ← Starting point</w:t>
        <w:br/>
        <w:t>2. Legal Reserve = 5% of NI                 ← Cap: 50% of Paid-Up Capital</w:t>
        <w:br/>
        <w:t>3. Distributable Profit = NI − Legal Reserve</w:t>
        <w:br/>
        <w:t>4. Employee Profit Distribution (EPD) = 10% of Distributable Profit</w:t>
        <w:br/>
        <w:t xml:space="preserve">                                        ← Cap: Total Annual Payroll</w:t>
        <w:br/>
        <w:t>5. NI After EPD = Distributable Profit − EPD</w:t>
        <w:br/>
        <w:t>6. Dividends = NI After EPD × Payout Ratio  ← Cap: Distributable Profit</w:t>
        <w:br/>
        <w:t>7. Addition to Retained Earnings = NI After EPD − Gross Dividends</w:t>
      </w:r>
    </w:p>
    <w:p>
      <w:pPr>
        <w:pStyle w:val="Heading2"/>
      </w:pPr>
      <w:r>
        <w:t>Law 91/2005 &amp; Law 6/2025 — Tax Regimes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Regime</w:t>
            </w:r>
          </w:p>
        </w:tc>
        <w:tc>
          <w:tcPr>
            <w:tcW w:type="dxa" w:w="2880"/>
          </w:tcPr>
          <w:p>
            <w:r>
              <w:rPr>
                <w:b/>
                <w:sz w:val="18"/>
              </w:rPr>
              <w:t>Rate</w:t>
            </w:r>
          </w:p>
        </w:tc>
        <w:tc>
          <w:tcPr>
            <w:tcW w:type="dxa" w:w="2880"/>
          </w:tcPr>
          <w:p>
            <w:r>
              <w:rPr>
                <w:b/>
                <w:sz w:val="18"/>
              </w:rPr>
              <w:t>Notes</w:t>
            </w:r>
          </w:p>
        </w:tc>
      </w:tr>
      <w:tr>
        <w:tc>
          <w:tcPr>
            <w:tcW w:type="dxa" w:w="2880"/>
          </w:tcPr>
          <w:p>
            <w:r>
              <w:rPr>
                <w:sz w:val="18"/>
              </w:rPr>
              <w:t>Standard Corporate</w:t>
            </w:r>
          </w:p>
        </w:tc>
        <w:tc>
          <w:tcPr>
            <w:tcW w:type="dxa" w:w="2880"/>
          </w:tcPr>
          <w:p>
            <w:r>
              <w:rPr>
                <w:sz w:val="18"/>
              </w:rPr>
              <w:t>22.5%</w:t>
            </w:r>
          </w:p>
        </w:tc>
        <w:tc>
          <w:tcPr>
            <w:tcW w:type="dxa" w:w="2880"/>
          </w:tcPr>
          <w:p>
            <w:r>
              <w:rPr>
                <w:sz w:val="18"/>
              </w:rPr>
              <w:t>Default for most companies</w:t>
            </w:r>
          </w:p>
        </w:tc>
      </w:tr>
      <w:tr>
        <w:tc>
          <w:tcPr>
            <w:tcW w:type="dxa" w:w="2880"/>
          </w:tcPr>
          <w:p>
            <w:r>
              <w:rPr>
                <w:sz w:val="18"/>
              </w:rPr>
              <w:t>Oil Exploration</w:t>
            </w:r>
          </w:p>
        </w:tc>
        <w:tc>
          <w:tcPr>
            <w:tcW w:type="dxa" w:w="2880"/>
          </w:tcPr>
          <w:p>
            <w:r>
              <w:rPr>
                <w:sz w:val="18"/>
              </w:rPr>
              <w:t>40.55%</w:t>
            </w:r>
          </w:p>
        </w:tc>
        <w:tc>
          <w:tcPr>
            <w:tcW w:type="dxa" w:w="2880"/>
          </w:tcPr>
          <w:p>
            <w:r>
              <w:rPr>
                <w:sz w:val="18"/>
              </w:rPr>
              <w:t>Petroleum sector</w:t>
            </w:r>
          </w:p>
        </w:tc>
      </w:tr>
      <w:tr>
        <w:tc>
          <w:tcPr>
            <w:tcW w:type="dxa" w:w="2880"/>
          </w:tcPr>
          <w:p>
            <w:r>
              <w:rPr>
                <w:sz w:val="18"/>
              </w:rPr>
              <w:t>Strategic Entities / CBE / Suez Canal</w:t>
            </w:r>
          </w:p>
        </w:tc>
        <w:tc>
          <w:tcPr>
            <w:tcW w:type="dxa" w:w="2880"/>
          </w:tcPr>
          <w:p>
            <w:r>
              <w:rPr>
                <w:sz w:val="18"/>
              </w:rPr>
              <w:t>40.0%</w:t>
            </w:r>
          </w:p>
        </w:tc>
        <w:tc>
          <w:tcPr>
            <w:tcW w:type="dxa" w:w="2880"/>
          </w:tcPr>
          <w:p>
            <w:r>
              <w:rPr>
                <w:sz w:val="18"/>
              </w:rPr>
              <w:t>State entities</w:t>
            </w:r>
          </w:p>
        </w:tc>
      </w:tr>
      <w:tr>
        <w:tc>
          <w:tcPr>
            <w:tcW w:type="dxa" w:w="2880"/>
          </w:tcPr>
          <w:p>
            <w:r>
              <w:rPr>
                <w:sz w:val="18"/>
              </w:rPr>
              <w:t>Investment Law 72 Zone A</w:t>
            </w:r>
          </w:p>
        </w:tc>
        <w:tc>
          <w:tcPr>
            <w:tcW w:type="dxa" w:w="2880"/>
          </w:tcPr>
          <w:p>
            <w:r>
              <w:rPr>
                <w:sz w:val="18"/>
              </w:rPr>
              <w:t>50% deduction</w:t>
            </w:r>
          </w:p>
        </w:tc>
        <w:tc>
          <w:tcPr>
            <w:tcW w:type="dxa" w:w="2880"/>
          </w:tcPr>
          <w:p>
            <w:r>
              <w:rPr>
                <w:sz w:val="18"/>
              </w:rPr>
              <w:t>Of investment cost from taxable income</w:t>
            </w:r>
          </w:p>
        </w:tc>
      </w:tr>
      <w:tr>
        <w:tc>
          <w:tcPr>
            <w:tcW w:type="dxa" w:w="2880"/>
          </w:tcPr>
          <w:p>
            <w:r>
              <w:rPr>
                <w:sz w:val="18"/>
              </w:rPr>
              <w:t>Investment Law 72 Zone B</w:t>
            </w:r>
          </w:p>
        </w:tc>
        <w:tc>
          <w:tcPr>
            <w:tcW w:type="dxa" w:w="2880"/>
          </w:tcPr>
          <w:p>
            <w:r>
              <w:rPr>
                <w:sz w:val="18"/>
              </w:rPr>
              <w:t>30% deduction</w:t>
            </w:r>
          </w:p>
        </w:tc>
        <w:tc>
          <w:tcPr>
            <w:tcW w:type="dxa" w:w="2880"/>
          </w:tcPr>
          <w:p>
            <w:r>
              <w:rPr>
                <w:sz w:val="18"/>
              </w:rPr>
              <w:t>Of investment cost from taxable income</w:t>
            </w:r>
          </w:p>
        </w:tc>
      </w:tr>
    </w:tbl>
    <w:p>
      <w:pPr>
        <w:pStyle w:val="Heading2"/>
      </w:pPr>
      <w:r>
        <w:t>SME Turnover Tax (Law 6/2025)</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sz w:val="18"/>
              </w:rPr>
              <w:t>Revenue Bracket (EGP)</w:t>
            </w:r>
          </w:p>
        </w:tc>
        <w:tc>
          <w:tcPr>
            <w:tcW w:type="dxa" w:w="4320"/>
          </w:tcPr>
          <w:p>
            <w:r>
              <w:rPr>
                <w:b/>
                <w:sz w:val="18"/>
              </w:rPr>
              <w:t>Rate</w:t>
            </w:r>
          </w:p>
        </w:tc>
      </w:tr>
      <w:tr>
        <w:tc>
          <w:tcPr>
            <w:tcW w:type="dxa" w:w="4320"/>
          </w:tcPr>
          <w:p>
            <w:r>
              <w:rPr>
                <w:sz w:val="18"/>
              </w:rPr>
              <w:t>Up to 1,000,000</w:t>
            </w:r>
          </w:p>
        </w:tc>
        <w:tc>
          <w:tcPr>
            <w:tcW w:type="dxa" w:w="4320"/>
          </w:tcPr>
          <w:p>
            <w:r>
              <w:rPr>
                <w:sz w:val="18"/>
              </w:rPr>
              <w:t>0.40%</w:t>
            </w:r>
          </w:p>
        </w:tc>
      </w:tr>
      <w:tr>
        <w:tc>
          <w:tcPr>
            <w:tcW w:type="dxa" w:w="4320"/>
          </w:tcPr>
          <w:p>
            <w:r>
              <w:rPr>
                <w:sz w:val="18"/>
              </w:rPr>
              <w:t>1,000,001 – 2,000,000</w:t>
            </w:r>
          </w:p>
        </w:tc>
        <w:tc>
          <w:tcPr>
            <w:tcW w:type="dxa" w:w="4320"/>
          </w:tcPr>
          <w:p>
            <w:r>
              <w:rPr>
                <w:sz w:val="18"/>
              </w:rPr>
              <w:t>0.75%</w:t>
            </w:r>
          </w:p>
        </w:tc>
      </w:tr>
      <w:tr>
        <w:tc>
          <w:tcPr>
            <w:tcW w:type="dxa" w:w="4320"/>
          </w:tcPr>
          <w:p>
            <w:r>
              <w:rPr>
                <w:sz w:val="18"/>
              </w:rPr>
              <w:t>2,000,001 – 3,000,000</w:t>
            </w:r>
          </w:p>
        </w:tc>
        <w:tc>
          <w:tcPr>
            <w:tcW w:type="dxa" w:w="4320"/>
          </w:tcPr>
          <w:p>
            <w:r>
              <w:rPr>
                <w:sz w:val="18"/>
              </w:rPr>
              <w:t>1.00%</w:t>
            </w:r>
          </w:p>
        </w:tc>
      </w:tr>
      <w:tr>
        <w:tc>
          <w:tcPr>
            <w:tcW w:type="dxa" w:w="4320"/>
          </w:tcPr>
          <w:p>
            <w:r>
              <w:rPr>
                <w:sz w:val="18"/>
              </w:rPr>
              <w:t>3,000,001 – 20,000,000</w:t>
            </w:r>
          </w:p>
        </w:tc>
        <w:tc>
          <w:tcPr>
            <w:tcW w:type="dxa" w:w="4320"/>
          </w:tcPr>
          <w:p>
            <w:r>
              <w:rPr>
                <w:sz w:val="18"/>
              </w:rPr>
              <w:t>1.50%</w:t>
            </w:r>
          </w:p>
        </w:tc>
      </w:tr>
    </w:tbl>
    <w:p>
      <w:r>
        <w:t>Note: SME tax applies to REVENUE, not Earnings Before Tax.</w:t>
      </w:r>
    </w:p>
    <w:p>
      <w:pPr>
        <w:pStyle w:val="Heading2"/>
      </w:pPr>
      <w:r>
        <w:t>Other Specifics</w:t>
      </w:r>
    </w:p>
    <w:p>
      <w:pPr>
        <w:pStyle w:val="ListBullet"/>
      </w:pPr>
      <w:r>
        <w:rPr>
          <w:b/>
        </w:rPr>
        <w:t>Dividend Withholding Tax</w:t>
      </w:r>
      <w:r>
        <w:t>: 5% for EGX listed, 10% for unlisted</w:t>
      </w:r>
    </w:p>
    <w:p>
      <w:pPr>
        <w:pStyle w:val="ListBullet"/>
      </w:pPr>
      <w:r>
        <w:rPr>
          <w:b/>
        </w:rPr>
        <w:t>Loss Carryforward</w:t>
      </w:r>
      <w:r>
        <w:t>: Max 5 years (Law 91/2005). Taxable income clamped at MAX(0, EBT − LossUtilized)</w:t>
      </w:r>
    </w:p>
    <w:p>
      <w:pPr>
        <w:pStyle w:val="ListBullet"/>
      </w:pPr>
      <w:r>
        <w:rPr>
          <w:b/>
        </w:rPr>
        <w:t>Capital Gains Tax</w:t>
      </w:r>
      <w:r>
        <w:t>: 10% on listed securities</w:t>
      </w:r>
    </w:p>
    <w:p>
      <w:r>
        <w:br w:type="page"/>
      </w:r>
    </w:p>
    <w:p>
      <w:pPr>
        <w:pStyle w:val="Heading1"/>
      </w:pPr>
      <w:r>
        <w:t>26. File Reference Index</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File</w:t>
            </w:r>
          </w:p>
        </w:tc>
        <w:tc>
          <w:tcPr>
            <w:tcW w:type="dxa" w:w="2880"/>
          </w:tcPr>
          <w:p>
            <w:r>
              <w:rPr>
                <w:b/>
                <w:sz w:val="18"/>
              </w:rPr>
              <w:t>Lines</w:t>
            </w:r>
          </w:p>
        </w:tc>
        <w:tc>
          <w:tcPr>
            <w:tcW w:type="dxa" w:w="2880"/>
          </w:tcPr>
          <w:p>
            <w:r>
              <w:rPr>
                <w:b/>
                <w:sz w:val="18"/>
              </w:rPr>
              <w:t>Purpose</w:t>
            </w:r>
          </w:p>
        </w:tc>
      </w:tr>
      <w:tr>
        <w:tc>
          <w:tcPr>
            <w:tcW w:type="dxa" w:w="2880"/>
          </w:tcPr>
          <w:p>
            <w:r>
              <w:rPr>
                <w:sz w:val="18"/>
              </w:rPr>
              <w:t>src/types/financial.ts</w:t>
            </w:r>
          </w:p>
        </w:tc>
        <w:tc>
          <w:tcPr>
            <w:tcW w:type="dxa" w:w="2880"/>
          </w:tcPr>
          <w:p>
            <w:r>
              <w:rPr>
                <w:sz w:val="18"/>
              </w:rPr>
              <w:t>465</w:t>
            </w:r>
          </w:p>
        </w:tc>
        <w:tc>
          <w:tcPr>
            <w:tcW w:type="dxa" w:w="2880"/>
          </w:tcPr>
          <w:p>
            <w:r>
              <w:rPr>
                <w:sz w:val="18"/>
              </w:rPr>
              <w:t>All TypeScript interfaces and type definitions</w:t>
            </w:r>
          </w:p>
        </w:tc>
      </w:tr>
      <w:tr>
        <w:tc>
          <w:tcPr>
            <w:tcW w:type="dxa" w:w="2880"/>
          </w:tcPr>
          <w:p>
            <w:r>
              <w:rPr>
                <w:sz w:val="18"/>
              </w:rPr>
              <w:t>src/utils/valuationEngine.ts</w:t>
            </w:r>
          </w:p>
        </w:tc>
        <w:tc>
          <w:tcPr>
            <w:tcW w:type="dxa" w:w="2880"/>
          </w:tcPr>
          <w:p>
            <w:r>
              <w:rPr>
                <w:sz w:val="18"/>
              </w:rPr>
              <w:t>1,098</w:t>
            </w:r>
          </w:p>
        </w:tc>
        <w:tc>
          <w:tcPr>
            <w:tcW w:type="dxa" w:w="2880"/>
          </w:tcPr>
          <w:p>
            <w:r>
              <w:rPr>
                <w:sz w:val="18"/>
              </w:rPr>
              <w:t>CORE: WACC, CAPM, FCFF, DCF, DDM, Comps, Blended, Ratios, Sensitivity, Scenarios, Reverse DCF, Validation</w:t>
            </w:r>
          </w:p>
        </w:tc>
      </w:tr>
      <w:tr>
        <w:tc>
          <w:tcPr>
            <w:tcW w:type="dxa" w:w="2880"/>
          </w:tcPr>
          <w:p>
            <w:r>
              <w:rPr>
                <w:sz w:val="18"/>
              </w:rPr>
              <w:t>src/utils/advancedAnalysis.ts</w:t>
            </w:r>
          </w:p>
        </w:tc>
        <w:tc>
          <w:tcPr>
            <w:tcW w:type="dxa" w:w="2880"/>
          </w:tcPr>
          <w:p>
            <w:r>
              <w:rPr>
                <w:sz w:val="18"/>
              </w:rPr>
              <w:t>679</w:t>
            </w:r>
          </w:p>
        </w:tc>
        <w:tc>
          <w:tcPr>
            <w:tcW w:type="dxa" w:w="2880"/>
          </w:tcPr>
          <w:p>
            <w:r>
              <w:rPr>
                <w:sz w:val="18"/>
              </w:rPr>
              <w:t>Reverse DCF (binary search), Monte Carlo, Sector Benchmarks, Quality Scorecard</w:t>
            </w:r>
          </w:p>
        </w:tc>
      </w:tr>
      <w:tr>
        <w:tc>
          <w:tcPr>
            <w:tcW w:type="dxa" w:w="2880"/>
          </w:tcPr>
          <w:p>
            <w:r>
              <w:rPr>
                <w:sz w:val="18"/>
              </w:rPr>
              <w:t>src/utils/confidenceScore.ts</w:t>
            </w:r>
          </w:p>
        </w:tc>
        <w:tc>
          <w:tcPr>
            <w:tcW w:type="dxa" w:w="2880"/>
          </w:tcPr>
          <w:p>
            <w:r>
              <w:rPr>
                <w:sz w:val="18"/>
              </w:rPr>
              <w:t>186</w:t>
            </w:r>
          </w:p>
        </w:tc>
        <w:tc>
          <w:tcPr>
            <w:tcW w:type="dxa" w:w="2880"/>
          </w:tcPr>
          <w:p>
            <w:r>
              <w:rPr>
                <w:sz w:val="18"/>
              </w:rPr>
              <w:t>3-pillar model confidence scoring (0-100)</w:t>
            </w:r>
          </w:p>
        </w:tc>
      </w:tr>
      <w:tr>
        <w:tc>
          <w:tcPr>
            <w:tcW w:type="dxa" w:w="2880"/>
          </w:tcPr>
          <w:p>
            <w:r>
              <w:rPr>
                <w:sz w:val="18"/>
              </w:rPr>
              <w:t>src/utils/valuation.ts</w:t>
            </w:r>
          </w:p>
        </w:tc>
        <w:tc>
          <w:tcPr>
            <w:tcW w:type="dxa" w:w="2880"/>
          </w:tcPr>
          <w:p>
            <w:r>
              <w:rPr>
                <w:sz w:val="18"/>
              </w:rPr>
              <w:t>207</w:t>
            </w:r>
          </w:p>
        </w:tc>
        <w:tc>
          <w:tcPr>
            <w:tcW w:type="dxa" w:w="2880"/>
          </w:tcPr>
          <w:p>
            <w:r>
              <w:rPr>
                <w:sz w:val="18"/>
              </w:rPr>
              <w:t>Convenience wrappers around valuationEngine.ts</w:t>
            </w:r>
          </w:p>
        </w:tc>
      </w:tr>
      <w:tr>
        <w:tc>
          <w:tcPr>
            <w:tcW w:type="dxa" w:w="2880"/>
          </w:tcPr>
          <w:p>
            <w:r>
              <w:rPr>
                <w:sz w:val="18"/>
              </w:rPr>
              <w:t>src/utils/easModules.ts</w:t>
            </w:r>
          </w:p>
        </w:tc>
        <w:tc>
          <w:tcPr>
            <w:tcW w:type="dxa" w:w="2880"/>
          </w:tcPr>
          <w:p>
            <w:r>
              <w:rPr>
                <w:sz w:val="18"/>
              </w:rPr>
              <w:t>232</w:t>
            </w:r>
          </w:p>
        </w:tc>
        <w:tc>
          <w:tcPr>
            <w:tcW w:type="dxa" w:w="2880"/>
          </w:tcPr>
          <w:p>
            <w:r>
              <w:rPr>
                <w:sz w:val="18"/>
              </w:rPr>
              <w:t>EAS 48 (IFRS 16), EAS 31 (IAS 1), EAS 12 (IAS 12), EAS 23 (IAS 33)</w:t>
            </w:r>
          </w:p>
        </w:tc>
      </w:tr>
      <w:tr>
        <w:tc>
          <w:tcPr>
            <w:tcW w:type="dxa" w:w="2880"/>
          </w:tcPr>
          <w:p>
            <w:r>
              <w:rPr>
                <w:sz w:val="18"/>
              </w:rPr>
              <w:t>src/utils/inputValidation.ts</w:t>
            </w:r>
          </w:p>
        </w:tc>
        <w:tc>
          <w:tcPr>
            <w:tcW w:type="dxa" w:w="2880"/>
          </w:tcPr>
          <w:p>
            <w:r>
              <w:rPr>
                <w:sz w:val="18"/>
              </w:rPr>
              <w:t>353</w:t>
            </w:r>
          </w:p>
        </w:tc>
        <w:tc>
          <w:tcPr>
            <w:tcW w:type="dxa" w:w="2880"/>
          </w:tcPr>
          <w:p>
            <w:r>
              <w:rPr>
                <w:sz w:val="18"/>
              </w:rPr>
              <w:t>Hard blocks (HB-1 to HB-8), Warnings (W-1 to W-9), Edge cases (EC-1 to EC-5)</w:t>
            </w:r>
          </w:p>
        </w:tc>
      </w:tr>
      <w:tr>
        <w:tc>
          <w:tcPr>
            <w:tcW w:type="dxa" w:w="2880"/>
          </w:tcPr>
          <w:p>
            <w:r>
              <w:rPr>
                <w:sz w:val="18"/>
              </w:rPr>
              <w:t>src/utils/excelExport.ts</w:t>
            </w:r>
          </w:p>
        </w:tc>
        <w:tc>
          <w:tcPr>
            <w:tcW w:type="dxa" w:w="2880"/>
          </w:tcPr>
          <w:p>
            <w:r>
              <w:rPr>
                <w:sz w:val="18"/>
              </w:rPr>
              <w:t>~1,500</w:t>
            </w:r>
          </w:p>
        </w:tc>
        <w:tc>
          <w:tcPr>
            <w:tcW w:type="dxa" w:w="2880"/>
          </w:tcPr>
          <w:p>
            <w:r>
              <w:rPr>
                <w:sz w:val="18"/>
              </w:rPr>
              <w:t>Multi-sheet Excel export with data formatting</w:t>
            </w:r>
          </w:p>
        </w:tc>
      </w:tr>
      <w:tr>
        <w:tc>
          <w:tcPr>
            <w:tcW w:type="dxa" w:w="2880"/>
          </w:tcPr>
          <w:p>
            <w:r>
              <w:rPr>
                <w:sz w:val="18"/>
              </w:rPr>
              <w:t>src/utils/excelExportPro.ts</w:t>
            </w:r>
          </w:p>
        </w:tc>
        <w:tc>
          <w:tcPr>
            <w:tcW w:type="dxa" w:w="2880"/>
          </w:tcPr>
          <w:p>
            <w:r>
              <w:rPr>
                <w:sz w:val="18"/>
              </w:rPr>
              <w:t>~1,400</w:t>
            </w:r>
          </w:p>
        </w:tc>
        <w:tc>
          <w:tcPr>
            <w:tcW w:type="dxa" w:w="2880"/>
          </w:tcPr>
          <w:p>
            <w:r>
              <w:rPr>
                <w:sz w:val="18"/>
              </w:rPr>
              <w:t>Pro Excel with live formulas and _Calc sheet pattern</w:t>
            </w:r>
          </w:p>
        </w:tc>
      </w:tr>
      <w:tr>
        <w:tc>
          <w:tcPr>
            <w:tcW w:type="dxa" w:w="2880"/>
          </w:tcPr>
          <w:p>
            <w:r>
              <w:rPr>
                <w:sz w:val="18"/>
              </w:rPr>
              <w:t>src/utils/pdfExport.ts</w:t>
            </w:r>
          </w:p>
        </w:tc>
        <w:tc>
          <w:tcPr>
            <w:tcW w:type="dxa" w:w="2880"/>
          </w:tcPr>
          <w:p>
            <w:r>
              <w:rPr>
                <w:sz w:val="18"/>
              </w:rPr>
              <w:t>~2,200</w:t>
            </w:r>
          </w:p>
        </w:tc>
        <w:tc>
          <w:tcPr>
            <w:tcW w:type="dxa" w:w="2880"/>
          </w:tcPr>
          <w:p>
            <w:r>
              <w:rPr>
                <w:sz w:val="18"/>
              </w:rPr>
              <w:t>Professional multi-page PDF report generation</w:t>
            </w:r>
          </w:p>
        </w:tc>
      </w:tr>
      <w:tr>
        <w:tc>
          <w:tcPr>
            <w:tcW w:type="dxa" w:w="2880"/>
          </w:tcPr>
          <w:p>
            <w:r>
              <w:rPr>
                <w:sz w:val="18"/>
              </w:rPr>
              <w:t>src/utils/jsonExport.ts</w:t>
            </w:r>
          </w:p>
        </w:tc>
        <w:tc>
          <w:tcPr>
            <w:tcW w:type="dxa" w:w="2880"/>
          </w:tcPr>
          <w:p>
            <w:r>
              <w:rPr>
                <w:sz w:val="18"/>
              </w:rPr>
              <w:t>~160</w:t>
            </w:r>
          </w:p>
        </w:tc>
        <w:tc>
          <w:tcPr>
            <w:tcW w:type="dxa" w:w="2880"/>
          </w:tcPr>
          <w:p>
            <w:r>
              <w:rPr>
                <w:sz w:val="18"/>
              </w:rPr>
              <w:t>Structured JSON export with full metadata</w:t>
            </w:r>
          </w:p>
        </w:tc>
      </w:tr>
      <w:tr>
        <w:tc>
          <w:tcPr>
            <w:tcW w:type="dxa" w:w="2880"/>
          </w:tcPr>
          <w:p>
            <w:r>
              <w:rPr>
                <w:sz w:val="18"/>
              </w:rPr>
              <w:t>src/utils/formatters.ts</w:t>
            </w:r>
          </w:p>
        </w:tc>
        <w:tc>
          <w:tcPr>
            <w:tcW w:type="dxa" w:w="2880"/>
          </w:tcPr>
          <w:p>
            <w:r>
              <w:rPr>
                <w:sz w:val="18"/>
              </w:rPr>
              <w:t>203</w:t>
            </w:r>
          </w:p>
        </w:tc>
        <w:tc>
          <w:tcPr>
            <w:tcW w:type="dxa" w:w="2880"/>
          </w:tcPr>
          <w:p>
            <w:r>
              <w:rPr>
                <w:sz w:val="18"/>
              </w:rPr>
              <w:t>USD/EGP currency formatting, number formatting, chart labels</w:t>
            </w:r>
          </w:p>
        </w:tc>
      </w:tr>
      <w:tr>
        <w:tc>
          <w:tcPr>
            <w:tcW w:type="dxa" w:w="2880"/>
          </w:tcPr>
          <w:p>
            <w:r>
              <w:rPr>
                <w:sz w:val="18"/>
              </w:rPr>
              <w:t>src/utils/industryMapping.ts</w:t>
            </w:r>
          </w:p>
        </w:tc>
        <w:tc>
          <w:tcPr>
            <w:tcW w:type="dxa" w:w="2880"/>
          </w:tcPr>
          <w:p>
            <w:r>
              <w:rPr>
                <w:sz w:val="18"/>
              </w:rPr>
              <w:t>~50</w:t>
            </w:r>
          </w:p>
        </w:tc>
        <w:tc>
          <w:tcPr>
            <w:tcW w:type="dxa" w:w="2880"/>
          </w:tcPr>
          <w:p>
            <w:r>
              <w:rPr>
                <w:sz w:val="18"/>
              </w:rPr>
              <w:t>Ticker to industry/sector mapping</w:t>
            </w:r>
          </w:p>
        </w:tc>
      </w:tr>
      <w:tr>
        <w:tc>
          <w:tcPr>
            <w:tcW w:type="dxa" w:w="2880"/>
          </w:tcPr>
          <w:p>
            <w:r>
              <w:rPr>
                <w:sz w:val="18"/>
              </w:rPr>
              <w:t>src/constants/marketDefaults.ts</w:t>
            </w:r>
          </w:p>
        </w:tc>
        <w:tc>
          <w:tcPr>
            <w:tcW w:type="dxa" w:w="2880"/>
          </w:tcPr>
          <w:p>
            <w:r>
              <w:rPr>
                <w:sz w:val="18"/>
              </w:rPr>
              <w:t>96</w:t>
            </w:r>
          </w:p>
        </w:tc>
        <w:tc>
          <w:tcPr>
            <w:tcW w:type="dxa" w:w="2880"/>
          </w:tcPr>
          <w:p>
            <w:r>
              <w:rPr>
                <w:sz w:val="18"/>
              </w:rPr>
              <w:t>USA/Egypt market configs, tax categories, industry multiples</w:t>
            </w:r>
          </w:p>
        </w:tc>
      </w:tr>
      <w:tr>
        <w:tc>
          <w:tcPr>
            <w:tcW w:type="dxa" w:w="2880"/>
          </w:tcPr>
          <w:p>
            <w:r>
              <w:rPr>
                <w:sz w:val="18"/>
              </w:rPr>
              <w:t>src/constants/initialData.ts</w:t>
            </w:r>
          </w:p>
        </w:tc>
        <w:tc>
          <w:tcPr>
            <w:tcW w:type="dxa" w:w="2880"/>
          </w:tcPr>
          <w:p>
            <w:r>
              <w:rPr>
                <w:sz w:val="18"/>
              </w:rPr>
              <w:t>115</w:t>
            </w:r>
          </w:p>
        </w:tc>
        <w:tc>
          <w:tcPr>
            <w:tcW w:type="dxa" w:w="2880"/>
          </w:tcPr>
          <w:p>
            <w:r>
              <w:rPr>
                <w:sz w:val="18"/>
              </w:rPr>
              <w:t>Default sample company data and assumptions</w:t>
            </w:r>
          </w:p>
        </w:tc>
      </w:tr>
      <w:tr>
        <w:tc>
          <w:tcPr>
            <w:tcW w:type="dxa" w:w="2880"/>
          </w:tcPr>
          <w:p>
            <w:r>
              <w:rPr>
                <w:sz w:val="18"/>
              </w:rPr>
              <w:t>src/constants/valuationStyles.ts</w:t>
            </w:r>
          </w:p>
        </w:tc>
        <w:tc>
          <w:tcPr>
            <w:tcW w:type="dxa" w:w="2880"/>
          </w:tcPr>
          <w:p>
            <w:r>
              <w:rPr>
                <w:sz w:val="18"/>
              </w:rPr>
              <w:t>~35</w:t>
            </w:r>
          </w:p>
        </w:tc>
        <w:tc>
          <w:tcPr>
            <w:tcW w:type="dxa" w:w="2880"/>
          </w:tcPr>
          <w:p>
            <w:r>
              <w:rPr>
                <w:sz w:val="18"/>
              </w:rPr>
              <w:t>Conservative/Moderate/Aggressive style presets</w:t>
            </w:r>
          </w:p>
        </w:tc>
      </w:tr>
      <w:tr>
        <w:tc>
          <w:tcPr>
            <w:tcW w:type="dxa" w:w="2880"/>
          </w:tcPr>
          <w:p>
            <w:r>
              <w:rPr>
                <w:sz w:val="18"/>
              </w:rPr>
              <w:t>src/hooks/useFinancialData.ts</w:t>
            </w:r>
          </w:p>
        </w:tc>
        <w:tc>
          <w:tcPr>
            <w:tcW w:type="dxa" w:w="2880"/>
          </w:tcPr>
          <w:p>
            <w:r>
              <w:rPr>
                <w:sz w:val="18"/>
              </w:rPr>
              <w:t>215</w:t>
            </w:r>
          </w:p>
        </w:tc>
        <w:tc>
          <w:tcPr>
            <w:tcW w:type="dxa" w:w="2880"/>
          </w:tcPr>
          <w:p>
            <w:r>
              <w:rPr>
                <w:sz w:val="18"/>
              </w:rPr>
              <w:t>State management with undo/redo and auto-save</w:t>
            </w:r>
          </w:p>
        </w:tc>
      </w:tr>
      <w:tr>
        <w:tc>
          <w:tcPr>
            <w:tcW w:type="dxa" w:w="2880"/>
          </w:tcPr>
          <w:p>
            <w:r>
              <w:rPr>
                <w:sz w:val="18"/>
              </w:rPr>
              <w:t>src/hooks/useValuationCalculations.ts</w:t>
            </w:r>
          </w:p>
        </w:tc>
        <w:tc>
          <w:tcPr>
            <w:tcW w:type="dxa" w:w="2880"/>
          </w:tcPr>
          <w:p>
            <w:r>
              <w:rPr>
                <w:sz w:val="18"/>
              </w:rPr>
              <w:t>209</w:t>
            </w:r>
          </w:p>
        </w:tc>
        <w:tc>
          <w:tcPr>
            <w:tcW w:type="dxa" w:w="2880"/>
          </w:tcPr>
          <w:p>
            <w:r>
              <w:rPr>
                <w:sz w:val="18"/>
              </w:rPr>
              <w:t>Memoized calculation pipeline with scenario/style adjustments</w:t>
            </w:r>
          </w:p>
        </w:tc>
      </w:tr>
      <w:tr>
        <w:tc>
          <w:tcPr>
            <w:tcW w:type="dxa" w:w="2880"/>
          </w:tcPr>
          <w:p>
            <w:r>
              <w:rPr>
                <w:sz w:val="18"/>
              </w:rPr>
              <w:t>src/hooks/useHistory.ts</w:t>
            </w:r>
          </w:p>
        </w:tc>
        <w:tc>
          <w:tcPr>
            <w:tcW w:type="dxa" w:w="2880"/>
          </w:tcPr>
          <w:p>
            <w:r>
              <w:rPr>
                <w:sz w:val="18"/>
              </w:rPr>
              <w:t>~80</w:t>
            </w:r>
          </w:p>
        </w:tc>
        <w:tc>
          <w:tcPr>
            <w:tcW w:type="dxa" w:w="2880"/>
          </w:tcPr>
          <w:p>
            <w:r>
              <w:rPr>
                <w:sz w:val="18"/>
              </w:rPr>
              <w:t>50-state undo/redo history stack</w:t>
            </w:r>
          </w:p>
        </w:tc>
      </w:tr>
      <w:tr>
        <w:tc>
          <w:tcPr>
            <w:tcW w:type="dxa" w:w="2880"/>
          </w:tcPr>
          <w:p>
            <w:r>
              <w:rPr>
                <w:sz w:val="18"/>
              </w:rPr>
              <w:t>src/hooks/useTheme.ts</w:t>
            </w:r>
          </w:p>
        </w:tc>
        <w:tc>
          <w:tcPr>
            <w:tcW w:type="dxa" w:w="2880"/>
          </w:tcPr>
          <w:p>
            <w:r>
              <w:rPr>
                <w:sz w:val="18"/>
              </w:rPr>
              <w:t>~40</w:t>
            </w:r>
          </w:p>
        </w:tc>
        <w:tc>
          <w:tcPr>
            <w:tcW w:type="dxa" w:w="2880"/>
          </w:tcPr>
          <w:p>
            <w:r>
              <w:rPr>
                <w:sz w:val="18"/>
              </w:rPr>
              <w:t>Dark/light mode with localStorage persistence</w:t>
            </w:r>
          </w:p>
        </w:tc>
      </w:tr>
      <w:tr>
        <w:tc>
          <w:tcPr>
            <w:tcW w:type="dxa" w:w="2880"/>
          </w:tcPr>
          <w:p>
            <w:r>
              <w:rPr>
                <w:sz w:val="18"/>
              </w:rPr>
              <w:t>src/hooks/useKeyboardShortcuts.ts</w:t>
            </w:r>
          </w:p>
        </w:tc>
        <w:tc>
          <w:tcPr>
            <w:tcW w:type="dxa" w:w="2880"/>
          </w:tcPr>
          <w:p>
            <w:r>
              <w:rPr>
                <w:sz w:val="18"/>
              </w:rPr>
              <w:t>~45</w:t>
            </w:r>
          </w:p>
        </w:tc>
        <w:tc>
          <w:tcPr>
            <w:tcW w:type="dxa" w:w="2880"/>
          </w:tcPr>
          <w:p>
            <w:r>
              <w:rPr>
                <w:sz w:val="18"/>
              </w:rPr>
              <w:t>Ctrl+Z/Y/S keyboard bindings</w:t>
            </w:r>
          </w:p>
        </w:tc>
      </w:tr>
      <w:tr>
        <w:tc>
          <w:tcPr>
            <w:tcW w:type="dxa" w:w="2880"/>
          </w:tcPr>
          <w:p>
            <w:r>
              <w:rPr>
                <w:sz w:val="18"/>
              </w:rPr>
              <w:t>src/services/stockAPI.ts</w:t>
            </w:r>
          </w:p>
        </w:tc>
        <w:tc>
          <w:tcPr>
            <w:tcW w:type="dxa" w:w="2880"/>
          </w:tcPr>
          <w:p>
            <w:r>
              <w:rPr>
                <w:sz w:val="18"/>
              </w:rPr>
              <w:t>729</w:t>
            </w:r>
          </w:p>
        </w:tc>
        <w:tc>
          <w:tcPr>
            <w:tcW w:type="dxa" w:w="2880"/>
          </w:tcPr>
          <w:p>
            <w:r>
              <w:rPr>
                <w:sz w:val="18"/>
              </w:rPr>
              <w:t>FMP Stable API client with peer company support</w:t>
            </w:r>
          </w:p>
        </w:tc>
      </w:tr>
      <w:tr>
        <w:tc>
          <w:tcPr>
            <w:tcW w:type="dxa" w:w="2880"/>
          </w:tcPr>
          <w:p>
            <w:r>
              <w:rPr>
                <w:sz w:val="18"/>
              </w:rPr>
              <w:t>src/services/yahooFinanceAPI.ts</w:t>
            </w:r>
          </w:p>
        </w:tc>
        <w:tc>
          <w:tcPr>
            <w:tcW w:type="dxa" w:w="2880"/>
          </w:tcPr>
          <w:p>
            <w:r>
              <w:rPr>
                <w:sz w:val="18"/>
              </w:rPr>
              <w:t>~350</w:t>
            </w:r>
          </w:p>
        </w:tc>
        <w:tc>
          <w:tcPr>
            <w:tcW w:type="dxa" w:w="2880"/>
          </w:tcPr>
          <w:p>
            <w:r>
              <w:rPr>
                <w:sz w:val="18"/>
              </w:rPr>
              <w:t>Yahoo Finance fallback client</w:t>
            </w:r>
          </w:p>
        </w:tc>
      </w:tr>
      <w:tr>
        <w:tc>
          <w:tcPr>
            <w:tcW w:type="dxa" w:w="2880"/>
          </w:tcPr>
          <w:p>
            <w:r>
              <w:rPr>
                <w:sz w:val="18"/>
              </w:rPr>
              <w:t>src/workers/monteCarlo.worker.ts</w:t>
            </w:r>
          </w:p>
        </w:tc>
        <w:tc>
          <w:tcPr>
            <w:tcW w:type="dxa" w:w="2880"/>
          </w:tcPr>
          <w:p>
            <w:r>
              <w:rPr>
                <w:sz w:val="18"/>
              </w:rPr>
              <w:t>143</w:t>
            </w:r>
          </w:p>
        </w:tc>
        <w:tc>
          <w:tcPr>
            <w:tcW w:type="dxa" w:w="2880"/>
          </w:tcPr>
          <w:p>
            <w:r>
              <w:rPr>
                <w:sz w:val="18"/>
              </w:rPr>
              <w:t>Web Worker for 5,000 Monte Carlo simulations</w:t>
            </w:r>
          </w:p>
        </w:tc>
      </w:tr>
      <w:tr>
        <w:tc>
          <w:tcPr>
            <w:tcW w:type="dxa" w:w="2880"/>
          </w:tcPr>
          <w:p>
            <w:r>
              <w:rPr>
                <w:sz w:val="18"/>
              </w:rPr>
              <w:t>src/App.tsx</w:t>
            </w:r>
          </w:p>
        </w:tc>
        <w:tc>
          <w:tcPr>
            <w:tcW w:type="dxa" w:w="2880"/>
          </w:tcPr>
          <w:p>
            <w:r>
              <w:rPr>
                <w:sz w:val="18"/>
              </w:rPr>
              <w:t>177</w:t>
            </w:r>
          </w:p>
        </w:tc>
        <w:tc>
          <w:tcPr>
            <w:tcW w:type="dxa" w:w="2880"/>
          </w:tcPr>
          <w:p>
            <w:r>
              <w:rPr>
                <w:sz w:val="18"/>
              </w:rPr>
              <w:t>Main orchestrator with lazy-loaded tabs</w:t>
            </w:r>
          </w:p>
        </w:tc>
      </w:tr>
    </w:tbl>
    <w:p/>
    <w:p>
      <w:pPr>
        <w:jc w:val="center"/>
      </w:pPr>
      <w:r>
        <w:rPr>
          <w:i/>
          <w:color w:val="999999"/>
        </w:rPr>
        <w:t>— End of Document —</w:t>
      </w:r>
    </w:p>
    <w:p>
      <w:pPr>
        <w:jc w:val="center"/>
      </w:pPr>
      <w:r>
        <w:rPr>
          <w:color w:val="999999"/>
          <w:sz w:val="18"/>
        </w:rPr>
        <w:t>WOLF Valuation Engine v2.0 — Complete Technical Overview — March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1A2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