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sz w:val="72"/>
        </w:rPr>
        <w:t>⚔️</w:t>
      </w:r>
    </w:p>
    <w:p>
      <w:pPr>
        <w:jc w:val="center"/>
      </w:pPr>
      <w:r>
        <w:rPr>
          <w:b/>
          <w:color w:val="1A2340"/>
          <w:sz w:val="64"/>
        </w:rPr>
        <w:t>VALOR M&amp;A ENGINE</w:t>
      </w:r>
    </w:p>
    <w:p>
      <w:pPr>
        <w:jc w:val="center"/>
      </w:pPr>
      <w:r>
        <w:rPr>
          <w:color w:val="666666"/>
          <w:sz w:val="32"/>
        </w:rPr>
        <w:t>Complete Developer Reference &amp; Architecture Guide</w:t>
      </w:r>
    </w:p>
    <w:p/>
    <w:p>
      <w:pPr>
        <w:jc w:val="center"/>
      </w:pPr>
      <w:r>
        <w:rPr>
          <w:i/>
          <w:color w:val="C5A44E"/>
          <w:sz w:val="24"/>
        </w:rPr>
        <w:t>"Courage Meets Capital"</w:t>
      </w:r>
    </w:p>
    <w:p/>
    <w:p/>
    <w:p/>
    <w:p/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1.0.0</w:t>
      </w:r>
    </w:p>
    <w:p>
      <w:pPr>
        <w:jc w:val="center"/>
      </w:pPr>
      <w:r>
        <w:rPr>
          <w:b/>
          <w:sz w:val="22"/>
        </w:rPr>
        <w:t xml:space="preserve">Framework: </w:t>
      </w:r>
      <w:r>
        <w:rPr>
          <w:sz w:val="22"/>
        </w:rPr>
        <w:t>React 19 + Vite 6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11 March 2026</w:t>
      </w:r>
    </w:p>
    <w:p>
      <w:pPr>
        <w:jc w:val="center"/>
      </w:pPr>
      <w:r>
        <w:rPr>
          <w:b/>
          <w:sz w:val="22"/>
        </w:rPr>
        <w:t xml:space="preserve">Modules: </w:t>
      </w:r>
      <w:r>
        <w:rPr>
          <w:sz w:val="22"/>
        </w:rPr>
        <w:t>9 (All Implemented)</w:t>
      </w:r>
    </w:p>
    <w:p>
      <w:pPr>
        <w:jc w:val="center"/>
      </w:pPr>
      <w:r>
        <w:rPr>
          <w:b/>
          <w:sz w:val="22"/>
        </w:rPr>
        <w:t xml:space="preserve">Build Status: </w:t>
      </w:r>
      <w:r>
        <w:rPr>
          <w:sz w:val="22"/>
        </w:rPr>
        <w:t>✅ 2,449 modules — Zero Errors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Overview</w:t>
      </w:r>
    </w:p>
    <w:p>
      <w:pPr>
        <w:spacing w:after="40"/>
      </w:pPr>
      <w:r>
        <w:t>2. Technology Stack &amp; Dependencies</w:t>
      </w:r>
    </w:p>
    <w:p>
      <w:pPr>
        <w:spacing w:after="40"/>
      </w:pPr>
      <w:r>
        <w:t>3. Project Architecture &amp; File Map</w:t>
      </w:r>
    </w:p>
    <w:p>
      <w:pPr>
        <w:spacing w:after="40"/>
      </w:pPr>
      <w:r>
        <w:t>4. Global State Management (DealContext)</w:t>
      </w:r>
    </w:p>
    <w:p>
      <w:pPr>
        <w:spacing w:after="40"/>
      </w:pPr>
      <w:r>
        <w:t>5. Module 1 — Command Center (Dashboard)</w:t>
      </w:r>
    </w:p>
    <w:p>
      <w:pPr>
        <w:spacing w:after="40"/>
      </w:pPr>
      <w:r>
        <w:t>6. Module 2 — Merger Model (Accretion/Dilution)</w:t>
      </w:r>
    </w:p>
    <w:p>
      <w:pPr>
        <w:spacing w:after="40"/>
      </w:pPr>
      <w:r>
        <w:t>7. Module 3 — Sources &amp; Uses</w:t>
      </w:r>
    </w:p>
    <w:p>
      <w:pPr>
        <w:spacing w:after="40"/>
      </w:pPr>
      <w:r>
        <w:t>8. Module 4 — Synergy Analysis</w:t>
      </w:r>
    </w:p>
    <w:p>
      <w:pPr>
        <w:spacing w:after="40"/>
      </w:pPr>
      <w:r>
        <w:t>9. Module 5 — LBO Model</w:t>
      </w:r>
    </w:p>
    <w:p>
      <w:pPr>
        <w:spacing w:after="40"/>
      </w:pPr>
      <w:r>
        <w:t>10. Module 6 — Fairness Opinion</w:t>
      </w:r>
    </w:p>
    <w:p>
      <w:pPr>
        <w:spacing w:after="40"/>
      </w:pPr>
      <w:r>
        <w:t>11. Module 7 — Precedent Transactions</w:t>
      </w:r>
    </w:p>
    <w:p>
      <w:pPr>
        <w:spacing w:after="40"/>
      </w:pPr>
      <w:r>
        <w:t>12. Module 8 — Regulatory Checklist</w:t>
      </w:r>
    </w:p>
    <w:p>
      <w:pPr>
        <w:spacing w:after="40"/>
      </w:pPr>
      <w:r>
        <w:t>13. Module 9 — Dispatch PDF</w:t>
      </w:r>
    </w:p>
    <w:p>
      <w:pPr>
        <w:spacing w:after="40"/>
      </w:pPr>
      <w:r>
        <w:t>14. Egyptian Regulatory Parameters</w:t>
      </w:r>
    </w:p>
    <w:p>
      <w:pPr>
        <w:spacing w:after="40"/>
      </w:pPr>
      <w:r>
        <w:t>15. Shared UI Components</w:t>
      </w:r>
    </w:p>
    <w:p>
      <w:pPr>
        <w:spacing w:after="40"/>
      </w:pPr>
      <w:r>
        <w:t>16. Styling &amp; Design System</w:t>
      </w:r>
    </w:p>
    <w:p>
      <w:pPr>
        <w:spacing w:after="40"/>
      </w:pPr>
      <w:r>
        <w:t>17. Development Workflow</w:t>
      </w:r>
    </w:p>
    <w:p>
      <w:pPr>
        <w:spacing w:after="40"/>
      </w:pPr>
      <w:r>
        <w:t>18. Future Development Roadmap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VALOR is a full-stack M&amp;A analysis engine designed specifically for the Egyptian capital markets. It provides investment banking professionals with a complete toolkit for merger analysis, leveraged buyouts, synergy quantification, fairness opinions, and regulatory compliance — all calibrated to Egyptian tax law, CBE monetary policy, and EAS accounting standards.</w:t>
      </w:r>
    </w:p>
    <w:p>
      <w:r>
        <w:t>The engine operates as a single-page web application with 9 interconnected modules that share state through a centralized React Context. All financial calculations are performed client-side using custom React hooks with zero external calculation dependencies, ensuring full auditability and transparency.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rPr>
          <w:b/>
        </w:rPr>
        <w:t xml:space="preserve">Merger Model: </w:t>
      </w:r>
      <w:r>
        <w:t>14-step accretion/dilution analysis with 3-year pro-forma EPS projection</w:t>
      </w:r>
    </w:p>
    <w:p>
      <w:pPr>
        <w:pStyle w:val="ListBullet"/>
      </w:pPr>
      <w:r>
        <w:rPr>
          <w:b/>
        </w:rPr>
        <w:t xml:space="preserve">Sources &amp; Uses: </w:t>
      </w:r>
      <w:r>
        <w:t>Dynamic financing structure with auto-calculated fees and balance verification</w:t>
      </w:r>
    </w:p>
    <w:p>
      <w:pPr>
        <w:pStyle w:val="ListBullet"/>
      </w:pPr>
      <w:r>
        <w:rPr>
          <w:b/>
        </w:rPr>
        <w:t xml:space="preserve">Synergy Analysis: </w:t>
      </w:r>
      <w:r>
        <w:t>5-year phased revenue/cost synergies with NPV, payback, and goodwill coverage</w:t>
      </w:r>
    </w:p>
    <w:p>
      <w:pPr>
        <w:pStyle w:val="ListBullet"/>
      </w:pPr>
      <w:r>
        <w:rPr>
          <w:b/>
        </w:rPr>
        <w:t xml:space="preserve">LBO Model: </w:t>
      </w:r>
      <w:r>
        <w:t>5-year operating model, 4-tranche debt schedule with cash sweep, IRR/MOIC with Egypt CGT</w:t>
      </w:r>
    </w:p>
    <w:p>
      <w:pPr>
        <w:pStyle w:val="ListBullet"/>
      </w:pPr>
      <w:r>
        <w:rPr>
          <w:b/>
        </w:rPr>
        <w:t xml:space="preserve">Fairness Opinion: </w:t>
      </w:r>
      <w:r>
        <w:t>6-methodology football field with 60% threshold-based determination</w:t>
      </w:r>
    </w:p>
    <w:p>
      <w:pPr>
        <w:pStyle w:val="ListBullet"/>
      </w:pPr>
      <w:r>
        <w:rPr>
          <w:b/>
        </w:rPr>
        <w:t xml:space="preserve">Precedent Transactions: </w:t>
      </w:r>
      <w:r>
        <w:t>Egypt/MENA deal database with CRUD, filtering, and analytics</w:t>
      </w:r>
    </w:p>
    <w:p>
      <w:pPr>
        <w:pStyle w:val="ListBullet"/>
      </w:pPr>
      <w:r>
        <w:rPr>
          <w:b/>
        </w:rPr>
        <w:t xml:space="preserve">Regulatory Checklist: </w:t>
      </w:r>
      <w:r>
        <w:t>Interactive compliance tracker with Gantt chart for deal timeline</w:t>
      </w:r>
    </w:p>
    <w:p>
      <w:pPr>
        <w:pStyle w:val="ListBullet"/>
      </w:pPr>
      <w:r>
        <w:rPr>
          <w:b/>
        </w:rPr>
        <w:t xml:space="preserve">Currency Toggle: </w:t>
      </w:r>
      <w:r>
        <w:t>Real-time EGP/USD conversion across all modules</w:t>
      </w:r>
    </w:p>
    <w:p>
      <w:pPr>
        <w:pStyle w:val="ListBullet"/>
      </w:pPr>
      <w:r>
        <w:rPr>
          <w:b/>
        </w:rPr>
        <w:t xml:space="preserve">Dispatch PDF: </w:t>
      </w:r>
      <w:r>
        <w:t>7-page branded Deal Memorandum export via jsPDF</w:t>
      </w:r>
    </w:p>
    <w:p>
      <w:r>
        <w:br w:type="page"/>
      </w:r>
    </w:p>
    <w:p>
      <w:pPr>
        <w:pStyle w:val="Heading1"/>
      </w:pPr>
      <w:r>
        <w:t>2. Technology Stack &amp;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framework with hooks-based state 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server and production bundler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Utility-first CSS with custom dark theme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 charts, waterfall charts, scenario matrices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0.468.0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SVG icon library (200+ icons used)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Client-side PDF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Render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html2canvas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DOM-to-canvas for PDF content capture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JavaScript (JSX)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TypeScript — pure JavaScript with JSX</w:t>
            </w:r>
          </w:p>
        </w:tc>
      </w:tr>
    </w:tbl>
    <w:p>
      <w:pPr>
        <w:pStyle w:val="Heading2"/>
      </w:pPr>
      <w:r>
        <w:t>Build Commands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Vite dev server on localhost:5173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Production build → dist/ directory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preview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 production build locally</w:t>
            </w:r>
          </w:p>
        </w:tc>
      </w:tr>
    </w:tbl>
    <w:p>
      <w:r>
        <w:br w:type="page"/>
      </w:r>
    </w:p>
    <w:p>
      <w:pPr>
        <w:pStyle w:val="Heading1"/>
      </w:pPr>
      <w:r>
        <w:t>3. Project Architecture &amp; File Map</w:t>
      </w:r>
    </w:p>
    <w:p>
      <w:pPr>
        <w:pStyle w:val="Heading2"/>
      </w:pPr>
      <w:r>
        <w:t>Directory Structure</w:t>
      </w:r>
    </w:p>
    <w:p>
      <w:r>
        <w:rPr>
          <w:rFonts w:ascii="Consolas" w:hAnsi="Consolas"/>
          <w:sz w:val="16"/>
        </w:rPr>
        <w:t>VALOR/</w:t>
        <w:br/>
        <w:t>├── src/</w:t>
        <w:br/>
        <w:t>│   ├── main.jsx                          # React entry point</w:t>
        <w:br/>
        <w:t>│   ├── App.jsx                           # Module router + layout</w:t>
        <w:br/>
        <w:t>│   ├── index.css                         # Global styles + animations</w:t>
        <w:br/>
        <w:t>│   ├── context/</w:t>
        <w:br/>
        <w:t>│   │   └── DealContext.jsx               # Global state (useReducer)</w:t>
        <w:br/>
        <w:t>│   ├── constants/</w:t>
        <w:br/>
        <w:t>│   │   └── egyptParams.js               # 79 Egyptian parameters + 6 precedent deals</w:t>
        <w:br/>
        <w:t>│   ├── hooks/</w:t>
        <w:br/>
        <w:t>│   │   ├── useMergerCalculations.js     # 210 lines — 14-step merger analysis</w:t>
        <w:br/>
        <w:t>│   │   ├── useSynergyCalculations.js    # 168 lines — synergy NPV engine</w:t>
        <w:br/>
        <w:t>│   │   └── useLBOCalculations.js        # 421 lines — LBO + IRR + scenario matrices</w:t>
        <w:br/>
        <w:t>│   ├── components/</w:t>
        <w:br/>
        <w:t>│   │   ├── layout/</w:t>
        <w:br/>
        <w:t>│   │   │   ├── Navbar.jsx               # Top bar: campaign name, currency toggle, FX rate</w:t>
        <w:br/>
        <w:t>│   │   │   └── Sidebar.jsx              # 9-module navigation with active state</w:t>
        <w:br/>
        <w:t>│   │   ├── dashboard/</w:t>
        <w:br/>
        <w:t>│   │   │   └── CommandCenter.jsx        # Deal overview dashboard with KPI cards</w:t>
        <w:br/>
        <w:t>│   │   ├── merger/</w:t>
        <w:br/>
        <w:t>│   │   │   ├── MergerModel.jsx          # Inputs + outputs for accretion/dilution</w:t>
        <w:br/>
        <w:t>│   │   │   ├── AccretionChart.jsx       # 3-year EPS bar chart</w:t>
        <w:br/>
        <w:t>│   │   │   └── ScenarioMatrix.jsx       # Sensitivity table (synergies vs. offer price)</w:t>
        <w:br/>
        <w:t>│   │   ├── sources-uses/</w:t>
        <w:br/>
        <w:t>│   │   │   └── SourcesUses.jsx          # Sources &amp; Uses with balance check</w:t>
        <w:br/>
        <w:t>│   │   ├── synergies/</w:t>
        <w:br/>
        <w:t>│   │   │   ├── SynergyInputs.jsx        # Revenue/cost synergy entry forms</w:t>
        <w:br/>
        <w:t>│   │   │   └── SynergyOutputs.jsx       # NPV, payback, charts, goodwill coverage</w:t>
        <w:br/>
        <w:t>│   │   ├── lbo/</w:t>
        <w:br/>
        <w:t>│   │   │   ├── LBOEntry.jsx             # Entry assumptions + capital structure</w:t>
        <w:br/>
        <w:t>│   │   │   ├── LBOOperating.jsx         # 5-year operating model grid</w:t>
        <w:br/>
        <w:t>│   │   │   └── LBOOutputs.jsx           # Debt schedule, exit, returns, scenario matrices</w:t>
        <w:br/>
        <w:t>│   │   ├── fairness/</w:t>
        <w:br/>
        <w:t>│   │   │   └── FootballField.jsx        # 6-methodology football field chart</w:t>
        <w:br/>
        <w:t>│   │   ├── precedents/</w:t>
        <w:br/>
        <w:t>│   │   │   └── PrecedentTransactions.jsx # Deal database with CRUD + analytics</w:t>
        <w:br/>
        <w:t>│   │   ├── regulatory/</w:t>
        <w:br/>
        <w:t>│   │   │   └── RegulatoryChecklist.jsx  # Interactive checklist + Gantt chart</w:t>
        <w:br/>
        <w:t>│   │   ├── dispatch/</w:t>
        <w:br/>
        <w:t>│   │   │   └── DispatchPDF.jsx          # PDF Deal Memorandum generator</w:t>
        <w:br/>
        <w:t>│   │   └── shared/</w:t>
        <w:br/>
        <w:t>│   │       ├── InputField.jsx           # Reusable numeric input with label/tooltip</w:t>
        <w:br/>
        <w:t>│   │       ├── MetricCard.jsx           # KPI display card</w:t>
        <w:br/>
        <w:t>│   │       ├── SectionHeader.jsx        # Collapsible section header</w:t>
        <w:br/>
        <w:t>│   │       └── StatusBadge.jsx          # Color-coded status indicator</w:t>
        <w:br/>
        <w:t>├── package.json</w:t>
        <w:br/>
        <w:t>├── vite.config.js</w:t>
        <w:br/>
        <w:t>└── tailwind.config.js</w:t>
      </w:r>
    </w:p>
    <w:p>
      <w:pPr>
        <w:pStyle w:val="Heading2"/>
      </w:pPr>
      <w:r>
        <w:t>Component 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Total Lines (approx)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Calculation Hooks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~800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Module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~4,500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~400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Layout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Context + Constants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~400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~6,400 lines</w:t>
            </w:r>
          </w:p>
        </w:tc>
      </w:tr>
    </w:tbl>
    <w:p>
      <w:r>
        <w:br w:type="page"/>
      </w:r>
    </w:p>
    <w:p>
      <w:pPr>
        <w:pStyle w:val="Heading1"/>
      </w:pPr>
      <w:r>
        <w:t>4. Global State Management (DealContext)</w:t>
      </w:r>
    </w:p>
    <w:p>
      <w:r>
        <w:t>All application state is managed through a single React Context using useReducer. The DealContext provides the state object, dispatch function, and utility functions (convertCurrency, formatNumber, formatCurrency) to all child components.</w:t>
      </w:r>
    </w:p>
    <w:p>
      <w:pPr>
        <w:pStyle w:val="Heading2"/>
      </w:pPr>
      <w:r>
        <w:t>State Shape</w:t>
      </w:r>
    </w:p>
    <w:p>
      <w:pPr>
        <w:pStyle w:val="Heading3"/>
      </w:pPr>
      <w:r>
        <w:t>Campaign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"New Campaign"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 for the deal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acquirerName / targetName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names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"Active"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Deal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"EGP"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currency (EGP or USD)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fxRateUSDEGP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USD/EGP exchange 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"command-center"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Currently active module slug</w:t>
            </w:r>
          </w:p>
        </w:tc>
      </w:tr>
    </w:tbl>
    <w:p>
      <w:pPr>
        <w:pStyle w:val="Heading3"/>
      </w:pPr>
      <w:r>
        <w:t>Acquirer Financials (state.acquirer)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 / ebitda / ebit / netIncome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LTM financials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sharesOutstanding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Shares in millions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share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existingDebt / 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sheet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tax rate</w:t>
            </w:r>
          </w:p>
        </w:tc>
      </w:tr>
    </w:tbl>
    <w:p>
      <w:pPr>
        <w:pStyle w:val="Heading3"/>
      </w:pPr>
      <w:r>
        <w:t>Target Financials (state.target)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Same as acquirer + bookValueOfEquity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book value for goodwill</w:t>
            </w:r>
          </w:p>
        </w:tc>
      </w:tr>
    </w:tbl>
    <w:p>
      <w:pPr>
        <w:pStyle w:val="Heading3"/>
      </w:pPr>
      <w:r>
        <w:t>Deal Terms (state.dealTerms)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offerPricePerShare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Per-share offer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cashPercent / stockPercent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/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Consideration mix (must sum to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newDebtForCashPercent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cash funded by new debt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newDebtInterestRate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interest rate on new acquisition debt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synergiesYear1/2/3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 synergy input for merger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dealTaxRate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 rate applied to synergies</w:t>
            </w:r>
          </w:p>
        </w:tc>
      </w:tr>
    </w:tbl>
    <w:p>
      <w:pPr>
        <w:pStyle w:val="Heading3"/>
      </w:pPr>
      <w:r>
        <w:t>LBO State (state.lbo)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targetRevenueLTM / targetEBITDALTM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(EGP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LBO target financials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entryMultiple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EV/EBITDA entry multiple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tla/tlb/seniorNotes/mezz Multiple/Rate/AmortPct/Maturity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4-tranche capital structure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operating[0..4]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5-year operating assumptions per year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exitYear / exitMultiple / exitRoute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/ 0 / "Strategic Sale"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 assumptions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sweepPercent / minimumCashRetention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/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Cash sweep mechanics</w:t>
            </w:r>
          </w:p>
        </w:tc>
      </w:tr>
    </w:tbl>
    <w:p>
      <w:pPr>
        <w:pStyle w:val="Heading3"/>
      </w:pPr>
      <w:r>
        <w:t>Fairness (state.fairness)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dcfLow/High, compsLow/High, precedentLow/High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methodology value ranges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week52Low/High, analystLow/High, lboLow/High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Additional ranges</w:t>
            </w:r>
          </w:p>
        </w:tc>
      </w:tr>
    </w:tbl>
    <w:p>
      <w:pPr>
        <w:pStyle w:val="Heading2"/>
      </w:pPr>
      <w:r>
        <w:t>Reducer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SET_CAMPAIGN_NAME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campaign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SET_ACTIVE_MODULE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Switch active module (triggers re-render)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SET_CURRENCY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"EGP" | "USD"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display currency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SET_FX_RATE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USD/EGP exchange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UPDATE_ACQUIRER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state.acquirer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UPDATE_DEAL_TERMS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state.dealTerms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UPDATE_SOURCES_USES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state.sourcesUses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UPDATE_SYNERGIES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state.synergies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UPDATE_LBO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state.lbo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UPDATE_FAIRNESS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state.fairness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UPDATE_PRECEDENT_TRANSACTIONS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entire transactions array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UPDATE_REGULATORY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into state.regulatoryChecklist</w:t>
            </w:r>
          </w:p>
        </w:tc>
      </w:tr>
    </w:tbl>
    <w:p>
      <w:r>
        <w:br w:type="page"/>
      </w:r>
    </w:p>
    <w:p>
      <w:pPr>
        <w:pStyle w:val="Heading1"/>
      </w:pPr>
      <w:r>
        <w:t>5. Module 1 — Command Center (Dashboard)</w:t>
      </w:r>
    </w:p>
    <w:p>
      <w:r>
        <w:t>File: src/components/dashboard/CommandCenter.jsx</w:t>
      </w:r>
    </w:p>
    <w:p>
      <w:r>
        <w:t>The Command Center serves as the deal overview dashboard. It displays key metrics from all modules in a grid of MetricCard components, providing a quick snapshot of the entire deal at a glance.</w:t>
      </w:r>
    </w:p>
    <w:p>
      <w:pPr>
        <w:pStyle w:val="Heading2"/>
      </w:pPr>
      <w:r>
        <w:t>Displayed Metrics</w:t>
      </w:r>
    </w:p>
    <w:p>
      <w:pPr>
        <w:pStyle w:val="ListBullet"/>
      </w:pPr>
      <w:r>
        <w:t>Purchase Price (from Merger Model)</w:t>
      </w:r>
    </w:p>
    <w:p>
      <w:pPr>
        <w:pStyle w:val="ListBullet"/>
      </w:pPr>
      <w:r>
        <w:t>Premium Paid (%)</w:t>
      </w:r>
    </w:p>
    <w:p>
      <w:pPr>
        <w:pStyle w:val="ListBullet"/>
      </w:pPr>
      <w:r>
        <w:t>Accretion/Dilution Year 1</w:t>
      </w:r>
    </w:p>
    <w:p>
      <w:pPr>
        <w:pStyle w:val="ListBullet"/>
      </w:pPr>
      <w:r>
        <w:t>NPV of Synergies (from Synergy Analysis)</w:t>
      </w:r>
    </w:p>
    <w:p>
      <w:pPr>
        <w:pStyle w:val="ListBullet"/>
      </w:pPr>
      <w:r>
        <w:t>LBO IRR &amp; MOIC (from LBO Model)</w:t>
      </w:r>
    </w:p>
    <w:p>
      <w:pPr>
        <w:pStyle w:val="ListBullet"/>
      </w:pPr>
      <w:r>
        <w:t>Fairness Determination (from Fairness Opinion)</w:t>
      </w:r>
    </w:p>
    <w:p>
      <w:pPr>
        <w:pStyle w:val="ListBullet"/>
      </w:pPr>
      <w:r>
        <w:t>Sources &amp; Uses Balance Status</w:t>
      </w:r>
    </w:p>
    <w:p>
      <w:pPr>
        <w:pStyle w:val="ListBullet"/>
      </w:pPr>
      <w:r>
        <w:t>Regulatory Completion Progress (%)</w:t>
      </w:r>
    </w:p>
    <w:p>
      <w:r>
        <w:br w:type="page"/>
      </w:r>
    </w:p>
    <w:p>
      <w:pPr>
        <w:pStyle w:val="Heading1"/>
      </w:pPr>
      <w:r>
        <w:t>6. Module 2 — Merger Model (Accretion/Dilution)</w:t>
      </w:r>
    </w:p>
    <w:p>
      <w:r>
        <w:t>Hook: src/hooks/useMergerCalculations.js (210 lines)</w:t>
      </w:r>
    </w:p>
    <w:p>
      <w:r>
        <w:t>UI: src/components/merger/MergerModel.jsx, AccretionChart.jsx, ScenarioMatrix.jsx</w:t>
      </w:r>
    </w:p>
    <w:p>
      <w:pPr>
        <w:pStyle w:val="Heading2"/>
      </w:pPr>
      <w:r>
        <w:t>Calculation Steps (14 Steps)</w:t>
      </w:r>
    </w:p>
    <w:p>
      <w:pPr>
        <w:pStyle w:val="Heading3"/>
      </w:pPr>
      <w:r>
        <w:t>Step 1: Purchase Price &amp; Deal Metrics</w:t>
      </w:r>
    </w:p>
    <w:p>
      <w:r>
        <w:rPr>
          <w:rFonts w:ascii="Consolas" w:hAnsi="Consolas"/>
          <w:sz w:val="18"/>
        </w:rPr>
        <w:t>purchasePriceEquity = offerPrice × targetShares</w:t>
        <w:br/>
        <w:t>premiumPaid = (offerPrice / targetSharePrice − 1) × 100</w:t>
        <w:br/>
        <w:t>targetEV = purchasePrice + targetDebt − targetCash</w:t>
        <w:br/>
        <w:t>impliedEV/EBITDA = targetEV / targetEBITDA</w:t>
        <w:br/>
        <w:t>impliedP/E = offerPrice / targetEPS</w:t>
      </w:r>
    </w:p>
    <w:p>
      <w:pPr>
        <w:pStyle w:val="Heading3"/>
      </w:pPr>
      <w:r>
        <w:t>Step 2: Consideration Breakdown</w:t>
      </w:r>
    </w:p>
    <w:p>
      <w:r>
        <w:rPr>
          <w:rFonts w:ascii="Consolas" w:hAnsi="Consolas"/>
          <w:sz w:val="18"/>
        </w:rPr>
        <w:t>cashComponent = purchasePrice × cashPercent</w:t>
        <w:br/>
        <w:t>stockComponent = purchasePrice × stockPercent</w:t>
      </w:r>
    </w:p>
    <w:p>
      <w:pPr>
        <w:pStyle w:val="Heading3"/>
      </w:pPr>
      <w:r>
        <w:t>Step 3: New Shares Issued</w:t>
      </w:r>
    </w:p>
    <w:p>
      <w:r>
        <w:rPr>
          <w:rFonts w:ascii="Consolas" w:hAnsi="Consolas"/>
          <w:sz w:val="18"/>
        </w:rPr>
        <w:t>newShares = stockComponent / acquirerSharePrice</w:t>
        <w:br/>
        <w:t>exchangeRatio = newShares / targetShares</w:t>
      </w:r>
    </w:p>
    <w:p>
      <w:pPr>
        <w:pStyle w:val="Heading3"/>
      </w:pPr>
      <w:r>
        <w:t>Step 4: Acquisition Financing</w:t>
      </w:r>
    </w:p>
    <w:p>
      <w:r>
        <w:rPr>
          <w:rFonts w:ascii="Consolas" w:hAnsi="Consolas"/>
          <w:sz w:val="18"/>
        </w:rPr>
        <w:t>debtForCash = cashComponent × newDebtForCashPercent</w:t>
        <w:br/>
        <w:t>cashFromBalance = cashComponent − debtForCash</w:t>
      </w:r>
    </w:p>
    <w:p>
      <w:pPr>
        <w:pStyle w:val="Heading3"/>
      </w:pPr>
      <w:r>
        <w:t>Step 5: Pro-Forma Shares</w:t>
      </w:r>
    </w:p>
    <w:p>
      <w:r>
        <w:rPr>
          <w:rFonts w:ascii="Consolas" w:hAnsi="Consolas"/>
          <w:sz w:val="18"/>
        </w:rPr>
        <w:t>pfShares = acquirerShares + newShares</w:t>
      </w:r>
    </w:p>
    <w:p>
      <w:pPr>
        <w:pStyle w:val="Heading3"/>
      </w:pPr>
      <w:r>
        <w:t>Step 6: Goodwill</w:t>
      </w:r>
    </w:p>
    <w:p>
      <w:r>
        <w:rPr>
          <w:rFonts w:ascii="Consolas" w:hAnsi="Consolas"/>
          <w:sz w:val="18"/>
        </w:rPr>
        <w:t>goodwill = purchasePrice − targetBookValue</w:t>
        <w:br/>
        <w:t>annualAmort = goodwill / 10 (EAS No. 19)</w:t>
      </w:r>
    </w:p>
    <w:p>
      <w:pPr>
        <w:pStyle w:val="Heading3"/>
      </w:pPr>
      <w:r>
        <w:t>Step 7: Incremental Interest</w:t>
      </w:r>
    </w:p>
    <w:p>
      <w:r>
        <w:rPr>
          <w:rFonts w:ascii="Consolas" w:hAnsi="Consolas"/>
          <w:sz w:val="18"/>
        </w:rPr>
        <w:t>interestOnNewDebt = debtForCash × newDebtRate</w:t>
        <w:br/>
        <w:t>lostInterest = cashFromBalance × CBE_DEPOSIT × 0.80</w:t>
        <w:br/>
        <w:t>totalIncrInterest = interestOnNewDebt + lostInterest</w:t>
      </w:r>
    </w:p>
    <w:p>
      <w:pPr>
        <w:pStyle w:val="Heading3"/>
      </w:pPr>
      <w:r>
        <w:t>Step 8: After-Tax Adjustments</w:t>
      </w:r>
    </w:p>
    <w:p>
      <w:r>
        <w:rPr>
          <w:rFonts w:ascii="Consolas" w:hAnsi="Consolas"/>
          <w:sz w:val="18"/>
        </w:rPr>
        <w:t>incrInterestAT = totalIncrInterest × (1 − taxRate)</w:t>
        <w:br/>
        <w:t>goodwillAmortAT = annualAmort × (1 − taxRate)</w:t>
      </w:r>
    </w:p>
    <w:p>
      <w:pPr>
        <w:pStyle w:val="Heading3"/>
      </w:pPr>
      <w:r>
        <w:t>Step 9: Pro-Forma Net Income (3-year)</w:t>
      </w:r>
    </w:p>
    <w:p>
      <w:r>
        <w:rPr>
          <w:rFonts w:ascii="Consolas" w:hAnsi="Consolas"/>
          <w:sz w:val="18"/>
        </w:rPr>
        <w:t>pfNI[y] = acquirerNI + targetNI + synergies[y]×(1−taxRate)</w:t>
        <w:br/>
        <w:t xml:space="preserve">          − incrInterestAT − goodwillAmortAT</w:t>
      </w:r>
    </w:p>
    <w:p>
      <w:pPr>
        <w:pStyle w:val="Heading3"/>
      </w:pPr>
      <w:r>
        <w:t>Step 10: EPS Analysis</w:t>
      </w:r>
    </w:p>
    <w:p>
      <w:r>
        <w:rPr>
          <w:rFonts w:ascii="Consolas" w:hAnsi="Consolas"/>
          <w:sz w:val="18"/>
        </w:rPr>
        <w:t>standaloneEPS = acquirerNI / acquirerShares</w:t>
        <w:br/>
        <w:t>pfEPS[y] = pfNI[y] / pfShares</w:t>
      </w:r>
    </w:p>
    <w:p>
      <w:pPr>
        <w:pStyle w:val="Heading3"/>
      </w:pPr>
      <w:r>
        <w:t>Step 11: Accretion/Dilution</w:t>
      </w:r>
    </w:p>
    <w:p>
      <w:r>
        <w:rPr>
          <w:rFonts w:ascii="Consolas" w:hAnsi="Consolas"/>
          <w:sz w:val="18"/>
        </w:rPr>
        <w:t>accDil[y] = ((pfEPS[y] − standaloneEPS) / standaloneEPS) × 100</w:t>
      </w:r>
    </w:p>
    <w:p>
      <w:pPr>
        <w:pStyle w:val="Heading3"/>
      </w:pPr>
      <w:r>
        <w:t>Step 12: Break-Even Synergies</w:t>
      </w:r>
    </w:p>
    <w:p>
      <w:r>
        <w:rPr>
          <w:rFonts w:ascii="Consolas" w:hAnsi="Consolas"/>
          <w:sz w:val="18"/>
        </w:rPr>
        <w:t>breakEvenAT = (standaloneEPS × pfShares − acquirerNI − targetNI</w:t>
        <w:br/>
        <w:t xml:space="preserve">              + incrInterestAT + goodwillAmortAT)</w:t>
      </w:r>
    </w:p>
    <w:p>
      <w:pPr>
        <w:pStyle w:val="Heading3"/>
      </w:pPr>
      <w:r>
        <w:t>Step 13: Contribution Analysis</w:t>
      </w:r>
    </w:p>
    <w:p>
      <w:r>
        <w:rPr>
          <w:rFonts w:ascii="Consolas" w:hAnsi="Consolas"/>
          <w:sz w:val="18"/>
        </w:rPr>
        <w:t>Acquirer % = acquirerMetric / (acquirerMetric + targetMetric)</w:t>
        <w:br/>
        <w:t>For: Revenue, EBITDA, Net Income</w:t>
      </w:r>
    </w:p>
    <w:p>
      <w:pPr>
        <w:pStyle w:val="Heading3"/>
      </w:pPr>
      <w:r>
        <w:t>Step 14: Post-Merger Ownership</w:t>
      </w:r>
    </w:p>
    <w:p>
      <w:r>
        <w:rPr>
          <w:rFonts w:ascii="Consolas" w:hAnsi="Consolas"/>
          <w:sz w:val="18"/>
        </w:rPr>
        <w:t>acquirerOwnership = acquirerShares / pfShares</w:t>
        <w:br/>
        <w:t>targetOwnership = newShares / pfShares</w:t>
      </w:r>
    </w:p>
    <w:p>
      <w:pPr>
        <w:pStyle w:val="Heading2"/>
      </w:pPr>
      <w:r>
        <w:t>Additional Components</w:t>
      </w:r>
    </w:p>
    <w:p>
      <w:pPr>
        <w:pStyle w:val="ListBullet"/>
      </w:pPr>
      <w:r>
        <w:t>AccretionChart.jsx — Recharts BarChart showing 3-year EPS comparison (standalone vs pro-forma)</w:t>
      </w:r>
    </w:p>
    <w:p>
      <w:pPr>
        <w:pStyle w:val="ListBullet"/>
      </w:pPr>
      <w:r>
        <w:t>ScenarioMatrix.jsx — 7×7 sensitivity table showing accretion/dilution at various synergy and offer price levels</w:t>
      </w:r>
    </w:p>
    <w:p>
      <w:r>
        <w:br w:type="page"/>
      </w:r>
    </w:p>
    <w:p>
      <w:pPr>
        <w:pStyle w:val="Heading1"/>
      </w:pPr>
      <w:r>
        <w:t>7. Module 3 — Sources &amp; Uses</w:t>
      </w:r>
    </w:p>
    <w:p>
      <w:r>
        <w:t>UI: src/components/sources-uses/SourcesUses.jsx</w:t>
      </w:r>
    </w:p>
    <w:p>
      <w:r>
        <w:t>The Sources &amp; Uses module presents a structured financing table showing where capital comes from (sources) and how it is deployed (uses). It features auto-calculated fees based on Egyptian benchmarks and a real-time balance verification system.</w:t>
      </w:r>
    </w:p>
    <w:p>
      <w:pPr>
        <w:pStyle w:val="Heading2"/>
      </w:pPr>
      <w:r>
        <w:t>Sources (Left Column)</w:t>
      </w:r>
    </w:p>
    <w:p>
      <w:pPr>
        <w:pStyle w:val="ListBullet"/>
      </w:pPr>
      <w:r>
        <w:t>Revolver Draw</w:t>
      </w:r>
    </w:p>
    <w:p>
      <w:pPr>
        <w:pStyle w:val="ListBullet"/>
      </w:pPr>
      <w:r>
        <w:t>Term Loan A / B</w:t>
      </w:r>
    </w:p>
    <w:p>
      <w:pPr>
        <w:pStyle w:val="ListBullet"/>
      </w:pPr>
      <w:r>
        <w:t>Senior Notes</w:t>
      </w:r>
    </w:p>
    <w:p>
      <w:pPr>
        <w:pStyle w:val="ListBullet"/>
      </w:pPr>
      <w:r>
        <w:t>Subordinated Notes</w:t>
      </w:r>
    </w:p>
    <w:p>
      <w:pPr>
        <w:pStyle w:val="ListBullet"/>
      </w:pPr>
      <w:r>
        <w:t>Mezzanine Financing</w:t>
      </w:r>
    </w:p>
    <w:p>
      <w:pPr>
        <w:pStyle w:val="ListBullet"/>
      </w:pPr>
      <w:r>
        <w:t>Seller Financing</w:t>
      </w:r>
    </w:p>
    <w:p>
      <w:pPr>
        <w:pStyle w:val="ListBullet"/>
      </w:pPr>
      <w:r>
        <w:t>Sponsor Equity</w:t>
      </w:r>
    </w:p>
    <w:p>
      <w:pPr>
        <w:pStyle w:val="ListBullet"/>
      </w:pPr>
      <w:r>
        <w:t>Rollover Equity</w:t>
      </w:r>
    </w:p>
    <w:p>
      <w:pPr>
        <w:pStyle w:val="ListBullet"/>
      </w:pPr>
      <w:r>
        <w:t>Cash on Hand</w:t>
      </w:r>
    </w:p>
    <w:p>
      <w:pPr>
        <w:pStyle w:val="Heading2"/>
      </w:pPr>
      <w:r>
        <w:t>Uses (Right Column)</w:t>
      </w:r>
    </w:p>
    <w:p>
      <w:pPr>
        <w:pStyle w:val="ListBullet"/>
      </w:pPr>
      <w:r>
        <w:t>Purchase Price (auto from Merger)</w:t>
      </w:r>
    </w:p>
    <w:p>
      <w:pPr>
        <w:pStyle w:val="ListBullet"/>
      </w:pPr>
      <w:r>
        <w:t>Refinance Target Debt</w:t>
      </w:r>
    </w:p>
    <w:p>
      <w:pPr>
        <w:pStyle w:val="ListBullet"/>
      </w:pPr>
      <w:r>
        <w:t>Refinance Acquirer Debt</w:t>
      </w:r>
    </w:p>
    <w:p>
      <w:pPr>
        <w:pStyle w:val="ListBullet"/>
      </w:pPr>
      <w:r>
        <w:t>Advisory Fees (auto: 1.0-1.5%)</w:t>
      </w:r>
    </w:p>
    <w:p>
      <w:pPr>
        <w:pStyle w:val="ListBullet"/>
      </w:pPr>
      <w:r>
        <w:t>Financing Fees (auto: 1.5%)</w:t>
      </w:r>
    </w:p>
    <w:p>
      <w:pPr>
        <w:pStyle w:val="ListBullet"/>
      </w:pPr>
      <w:r>
        <w:t>Legal &amp; DD Fees (auto: 0.75%)</w:t>
      </w:r>
    </w:p>
    <w:p>
      <w:pPr>
        <w:pStyle w:val="ListBullet"/>
      </w:pPr>
      <w:r>
        <w:t>FRA Filing Fee</w:t>
      </w:r>
    </w:p>
    <w:p>
      <w:pPr>
        <w:pStyle w:val="ListBullet"/>
      </w:pPr>
      <w:r>
        <w:t>ECA Filing Fee</w:t>
      </w:r>
    </w:p>
    <w:p>
      <w:pPr>
        <w:pStyle w:val="ListBullet"/>
      </w:pPr>
      <w:r>
        <w:t>Stamp Duty (auto: 0.125%/side)</w:t>
      </w:r>
    </w:p>
    <w:p>
      <w:pPr>
        <w:pStyle w:val="ListBullet"/>
      </w:pPr>
      <w:r>
        <w:t>Cash to Balance Sheet</w:t>
      </w:r>
    </w:p>
    <w:p>
      <w:pPr>
        <w:pStyle w:val="Heading2"/>
      </w:pPr>
      <w:r>
        <w:t>Balance Verification</w:t>
      </w:r>
    </w:p>
    <w:p>
      <w:r>
        <w:t>The module continuously compares Total Sources vs Total Uses. If they are equal within EGP 0.01M, a green "BALANCED ✅" indicator is shown. Otherwise, a red "IMBALANCED ❌" alert displays the difference amount.</w:t>
      </w:r>
    </w:p>
    <w:p>
      <w:r>
        <w:br w:type="page"/>
      </w:r>
    </w:p>
    <w:p>
      <w:pPr>
        <w:pStyle w:val="Heading1"/>
      </w:pPr>
      <w:r>
        <w:t>8. Module 4 — Synergy Analysis</w:t>
      </w:r>
    </w:p>
    <w:p>
      <w:r>
        <w:t>Hook: src/hooks/useSynergyCalculations.js (168 lines)</w:t>
      </w:r>
    </w:p>
    <w:p>
      <w:r>
        <w:t>UI: src/components/synergies/SynergyInputs.jsx, SynergyOutputs.jsx</w:t>
      </w:r>
    </w:p>
    <w:p>
      <w:pPr>
        <w:pStyle w:val="Heading2"/>
      </w:pPr>
      <w:r>
        <w:t>Revenue Synergies (5 categories × 5 years)</w:t>
      </w:r>
    </w:p>
    <w:p>
      <w:r>
        <w:t>Each category allows year-by-year entry in EGP M:</w:t>
      </w:r>
    </w:p>
    <w:p>
      <w:pPr>
        <w:pStyle w:val="ListBullet"/>
      </w:pPr>
      <w:r>
        <w:t>Cross-Selling Opportunities</w:t>
      </w:r>
    </w:p>
    <w:p>
      <w:pPr>
        <w:pStyle w:val="ListBullet"/>
      </w:pPr>
      <w:r>
        <w:t>Geographic Expansion</w:t>
      </w:r>
    </w:p>
    <w:p>
      <w:pPr>
        <w:pStyle w:val="ListBullet"/>
      </w:pPr>
      <w:r>
        <w:t>Pricing Power</w:t>
      </w:r>
    </w:p>
    <w:p>
      <w:pPr>
        <w:pStyle w:val="ListBullet"/>
      </w:pPr>
      <w:r>
        <w:t>New Product Development</w:t>
      </w:r>
    </w:p>
    <w:p>
      <w:pPr>
        <w:pStyle w:val="ListBullet"/>
      </w:pPr>
      <w:r>
        <w:t>Customer Base Synergies</w:t>
      </w:r>
    </w:p>
    <w:p>
      <w:pPr>
        <w:pStyle w:val="Heading2"/>
      </w:pPr>
      <w:r>
        <w:t>Cost Synergies (Run-Rate Calculation)</w:t>
      </w:r>
    </w:p>
    <w:p>
      <w:r>
        <w:t>Headcount = redundantPositions × avgSalary × (1 + socialInsurance18.75%)</w:t>
      </w:r>
    </w:p>
    <w:p>
      <w:r>
        <w:t>Facility = duplicateFacilities × avgRent</w:t>
      </w:r>
    </w:p>
    <w:p>
      <w:r>
        <w:t>Procurement = combinedSpend × discountPct</w:t>
      </w:r>
    </w:p>
    <w:p>
      <w:r>
        <w:t>IT = direct savings input</w:t>
      </w:r>
    </w:p>
    <w:p>
      <w:r>
        <w:t>SG&amp;A = combinedSGA × overlapPct</w:t>
      </w:r>
    </w:p>
    <w:p>
      <w:r>
        <w:t>totalRunRate = sum of all five components</w:t>
      </w:r>
    </w:p>
    <w:p>
      <w:pPr>
        <w:pStyle w:val="Heading2"/>
      </w:pPr>
      <w:r>
        <w:t>Phase-In Schedule</w:t>
      </w:r>
    </w:p>
    <w:p>
      <w:r>
        <w:t>Cost synergies are multiplied by phaseIn[y] / 100 for each year. Default: 50%, 75%, 100%, 100%, 100%</w:t>
      </w:r>
    </w:p>
    <w:p>
      <w:pPr>
        <w:pStyle w:val="Heading2"/>
      </w:pPr>
      <w:r>
        <w:t>Key Formulas</w:t>
      </w:r>
    </w:p>
    <w:p>
      <w:r>
        <w:rPr>
          <w:rFonts w:ascii="Consolas" w:hAnsi="Consolas"/>
          <w:sz w:val="18"/>
        </w:rPr>
        <w:t>grossSynergies[y] = revenueSynergies[y] + costSynergies[y] × phaseIn[y]/100</w:t>
      </w:r>
    </w:p>
    <w:p>
      <w:r>
        <w:rPr>
          <w:rFonts w:ascii="Consolas" w:hAnsi="Consolas"/>
          <w:sz w:val="18"/>
        </w:rPr>
        <w:t>netSynergies[y] = grossSynergies[y] × (1 − 0.225)</w:t>
      </w:r>
    </w:p>
    <w:p>
      <w:r>
        <w:rPr>
          <w:rFonts w:ascii="Consolas" w:hAnsi="Consolas"/>
          <w:sz w:val="18"/>
        </w:rPr>
        <w:t>integrationCostAT = (severance + facility + IT + rebrand + other) × (1 − 0.225)</w:t>
      </w:r>
    </w:p>
    <w:p>
      <w:r>
        <w:rPr>
          <w:rFonts w:ascii="Consolas" w:hAnsi="Consolas"/>
          <w:sz w:val="18"/>
        </w:rPr>
        <w:t>NPV = −integrationCostAT + Σ(netSynergies[y] / (1+WACC)^y) + TV</w:t>
      </w:r>
    </w:p>
    <w:p>
      <w:r>
        <w:rPr>
          <w:rFonts w:ascii="Consolas" w:hAnsi="Consolas"/>
          <w:sz w:val="18"/>
        </w:rPr>
        <w:t>TV = (netSynergies[5] / WACC) / (1+WACC)^5</w:t>
      </w:r>
    </w:p>
    <w:p>
      <w:r>
        <w:rPr>
          <w:rFonts w:ascii="Consolas" w:hAnsi="Consolas"/>
          <w:sz w:val="18"/>
        </w:rPr>
        <w:t>paybackPeriod = fractional year when cumulative net synergies ≥ integration costs</w:t>
      </w:r>
    </w:p>
    <w:p>
      <w:r>
        <w:rPr>
          <w:rFonts w:ascii="Consolas" w:hAnsi="Consolas"/>
          <w:sz w:val="18"/>
        </w:rPr>
        <w:t>goodwillCoverage = NPV / goodwillCreated × 100</w:t>
      </w:r>
    </w:p>
    <w:p>
      <w:r>
        <w:rPr>
          <w:rFonts w:ascii="Consolas" w:hAnsi="Consolas"/>
          <w:sz w:val="18"/>
        </w:rPr>
        <w:t>severance = positions × salary × (2 months / 12) × avgYearsOfService</w:t>
      </w:r>
    </w:p>
    <w:p>
      <w:r>
        <w:br w:type="page"/>
      </w:r>
    </w:p>
    <w:p>
      <w:pPr>
        <w:pStyle w:val="Heading1"/>
      </w:pPr>
      <w:r>
        <w:t>9. Module 5 — LBO Model</w:t>
      </w:r>
    </w:p>
    <w:p>
      <w:r>
        <w:t>Hook: src/hooks/useLBOCalculations.js (421 lines)</w:t>
      </w:r>
    </w:p>
    <w:p>
      <w:r>
        <w:t>UI: src/components/lbo/LBOEntry.jsx, LBOOperating.jsx, LBOOutputs.jsx</w:t>
      </w:r>
    </w:p>
    <w:p>
      <w:pPr>
        <w:pStyle w:val="Heading2"/>
      </w:pPr>
      <w:r>
        <w:t>Step 1: Entry Assumptions</w:t>
      </w:r>
    </w:p>
    <w:p>
      <w:r>
        <w:rPr>
          <w:rFonts w:ascii="Consolas" w:hAnsi="Consolas"/>
          <w:sz w:val="18"/>
        </w:rPr>
        <w:t>impliedEntryEV = targetEBITDA × entryMultiple</w:t>
        <w:br/>
        <w:t>totalCapitalRequired = impliedEntryEV − netDebt + netDebt + transactionFees</w:t>
        <w:br/>
        <w:t xml:space="preserve">                     = impliedEntryEV + transactionFees</w:t>
      </w:r>
    </w:p>
    <w:p>
      <w:pPr>
        <w:pStyle w:val="Heading2"/>
      </w:pPr>
      <w:r>
        <w:t>Step 2: Capital Structure (4 Tranches)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Tranche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Amortization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Maturity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 Loan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EBITDA × tlaMultiple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tlaRate%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tlaAmortPct% per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tlaMaturity years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 Loan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EBITDA × tlbMultiple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tlbRate%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tlbAmortPct% (minimal)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tlbMaturity years (bullet)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Senior 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EBITDA × snMultiple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snRate%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(bullet)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snMaturity years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Mezzanine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EBITDA × mezzMultiple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mezzRate%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(PIK or cash)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mezzMaturity years</w:t>
            </w:r>
          </w:p>
        </w:tc>
      </w:tr>
    </w:tbl>
    <w:p>
      <w:r>
        <w:t>sponsorEquity = max(0, totalCapitalRequired − totalDebt)</w:t>
      </w:r>
    </w:p>
    <w:p>
      <w:pPr>
        <w:pStyle w:val="Heading2"/>
      </w:pPr>
      <w:r>
        <w:t>Step 3: 5-Year Operating Model</w:t>
      </w:r>
    </w:p>
    <w:p>
      <w:r>
        <w:rPr>
          <w:rFonts w:ascii="Consolas" w:hAnsi="Consolas"/>
          <w:sz w:val="18"/>
        </w:rPr>
        <w:t>revenue[y] = revenue[y-1] × (1 + revenueGrowth/100)</w:t>
        <w:br/>
        <w:t>ebitda[y] = revenue[y] × ebitdaMargin/100</w:t>
        <w:br/>
        <w:t>depreciation[y] = revenue[y] × depreciationPct/100</w:t>
        <w:br/>
        <w:t>ebit[y] = ebitda[y] − depreciation[y]</w:t>
        <w:br/>
        <w:t>capex[y] = revenue[y] × capexPct/100</w:t>
        <w:br/>
        <w:t>NWC calculated from DSO/DIO/DPO and COGS</w:t>
      </w:r>
    </w:p>
    <w:p>
      <w:pPr>
        <w:pStyle w:val="Heading2"/>
      </w:pPr>
      <w:r>
        <w:t>Step 4: Debt Schedule &amp; Cash Sweep</w:t>
      </w:r>
    </w:p>
    <w:p>
      <w:r>
        <w:rPr>
          <w:rFonts w:ascii="Consolas" w:hAnsi="Consolas"/>
          <w:sz w:val="18"/>
        </w:rPr>
        <w:t>For each year y:</w:t>
        <w:br/>
        <w:t xml:space="preserve">  interest[y] = beginningBalance × rate/100  (on each tranche)</w:t>
        <w:br/>
        <w:t xml:space="preserve">  EBT = EBIT − totalInterest</w:t>
        <w:br/>
        <w:t xml:space="preserve">  taxes = max(EBT, 0) × 22.5%</w:t>
        <w:br/>
        <w:t xml:space="preserve">  NI = EBT − taxes</w:t>
        <w:br/>
        <w:br/>
        <w:t xml:space="preserve">  mandatoryAmort: TLA = principal × amortPct/100 (bullet at maturity)</w:t>
        <w:br/>
        <w:t xml:space="preserve">                  TLB = principal × amortPct/100 (bullet at maturity)</w:t>
        <w:br/>
        <w:br/>
        <w:t xml:space="preserve">  FCFE = NI + D&amp;A − CapEx − ΔNWC − mandatoryAmort</w:t>
        <w:br/>
        <w:br/>
        <w:t xml:space="preserve">  excessCash = max(FCFE − minimumCashRetention, 0)</w:t>
        <w:br/>
        <w:t xml:space="preserve">  cashSweep = excessCash × sweepPercent/100</w:t>
        <w:br/>
        <w:t xml:space="preserve">  Priority: TLA → TLB → Senior Notes</w:t>
        <w:br/>
        <w:br/>
        <w:t xml:space="preserve">  endingBalance = beginningBalance − amort − sweep</w:t>
      </w:r>
    </w:p>
    <w:p>
      <w:pPr>
        <w:pStyle w:val="Heading2"/>
      </w:pPr>
      <w:r>
        <w:t>Step 5: Exit &amp; Returns</w:t>
      </w:r>
    </w:p>
    <w:p>
      <w:r>
        <w:rPr>
          <w:rFonts w:ascii="Consolas" w:hAnsi="Consolas"/>
          <w:sz w:val="18"/>
        </w:rPr>
        <w:t>exitEV = exitEBITDA × exitMultiple</w:t>
        <w:br/>
        <w:t>netDebtAtExit = totalDebt[exitYear] − minimumCash</w:t>
        <w:br/>
        <w:t>equityAtExit = exitEV − netDebtAtExit</w:t>
        <w:br/>
        <w:br/>
        <w:t>CGT (Strategic Sale / Secondary): max(equityAtExit − sponsorEquity, 0) × 22.5%</w:t>
        <w:br/>
        <w:t>CGT (IPO on EGX): 0% (per Egyptian CGT exemption for listed securities via IPO)</w:t>
        <w:br/>
        <w:br/>
        <w:t>equityReturned = equityAtExit − CGT</w:t>
        <w:br/>
        <w:t>MOIC = equityReturned / sponsorEquity</w:t>
        <w:br/>
        <w:t>IRR = Newton-Raphson on cash flows [-sponsorEquity, 0, ..., 0, +equityReturned]</w:t>
      </w:r>
    </w:p>
    <w:p>
      <w:pPr>
        <w:pStyle w:val="Heading2"/>
      </w:pPr>
      <w:r>
        <w:t>Step 6: Covenant Monitoring</w:t>
      </w:r>
    </w:p>
    <w:p>
      <w:r>
        <w:t>Max Leverage Covenant: totalDebt / EBITDA must be ≤ maxLeverageCovenant (default 3.0x)</w:t>
      </w:r>
    </w:p>
    <w:p>
      <w:r>
        <w:t>Min ICR Covenant: EBITDA / totalInterest must be ≥ minICRCovenant (default 2.5x)</w:t>
      </w:r>
    </w:p>
    <w:p>
      <w:r>
        <w:t>Breaches are detected per year and displayed as red alerts in the UI.</w:t>
      </w:r>
    </w:p>
    <w:p>
      <w:pPr>
        <w:pStyle w:val="Heading2"/>
      </w:pPr>
      <w:r>
        <w:t>Step 7: Scenario Matrices (3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Matrix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Row Axis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Column Axis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Cell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EV/EBITDA (5x–11x)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 EV/EBITDA (5x–11x)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IRR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CAGR (0–30%)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EBITDA Margin Y5 (10–40%)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IRR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EV/EBITDA (5x–11x)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 Year (3–7)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MOIC x</w:t>
            </w:r>
          </w:p>
        </w:tc>
      </w:tr>
    </w:tbl>
    <w:p>
      <w:r>
        <w:br w:type="page"/>
      </w:r>
    </w:p>
    <w:p>
      <w:pPr>
        <w:pStyle w:val="Heading1"/>
      </w:pPr>
      <w:r>
        <w:t>10. Module 6 — Fairness Opinion (Football Field)</w:t>
      </w:r>
    </w:p>
    <w:p>
      <w:r>
        <w:t>UI: src/components/fairness/FootballField.jsx</w:t>
      </w:r>
    </w:p>
    <w:p>
      <w:pPr>
        <w:pStyle w:val="Heading2"/>
      </w:pPr>
      <w:r>
        <w:t>Methodology Ranges</w:t>
      </w:r>
    </w:p>
    <w:p>
      <w:r>
        <w:t>6 valuation methodologies, each with a Low and High value (EGP per share):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State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DCF 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dcfLow, dcfHigh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Trading Comparables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compsLow, compsHigh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Precedent 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precedentLow, precedentHigh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52-Week Trading 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week52Low, week52High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 Price 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analystLow, analystHigh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LBO Floor 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lboLow, lboHigh</w:t>
            </w:r>
          </w:p>
        </w:tc>
      </w:tr>
    </w:tbl>
    <w:p>
      <w:pPr>
        <w:pStyle w:val="Heading2"/>
      </w:pPr>
      <w:r>
        <w:t>Fairness Determination Logic</w:t>
      </w:r>
    </w:p>
    <w:p>
      <w:r>
        <w:rPr>
          <w:rFonts w:ascii="Consolas" w:hAnsi="Consolas"/>
          <w:sz w:val="18"/>
        </w:rPr>
        <w:t>For each methodology:</w:t>
        <w:br/>
        <w:t xml:space="preserve">  withinRange = offerPrice &gt;= low AND offerPrice &lt;= high</w:t>
        <w:br/>
        <w:br/>
        <w:t>countWithinRange = sum of all withinRange</w:t>
        <w:br/>
        <w:t>percentage = countWithinRange / 6 × 100</w:t>
        <w:br/>
        <w:br/>
        <w:t>if percentage ≥ 60% → "FAIR ✅"</w:t>
        <w:br/>
        <w:t>if percentage &lt; 60% → "OUTSIDE FAIR RANGE ❌"</w:t>
      </w:r>
    </w:p>
    <w:p>
      <w:pPr>
        <w:pStyle w:val="Heading2"/>
      </w:pPr>
      <w:r>
        <w:t>Premium/Discount Display</w:t>
      </w:r>
    </w:p>
    <w:p>
      <w:r>
        <w:t>For each methodology, the premium or discount vs midpoint is shown:</w:t>
      </w:r>
    </w:p>
    <w:p>
      <w:r>
        <w:t>premium = (offerPrice / midpoint − 1) × 100, where midpoint = (low + high) / 2</w:t>
      </w:r>
    </w:p>
    <w:p>
      <w:r>
        <w:br w:type="page"/>
      </w:r>
    </w:p>
    <w:p>
      <w:pPr>
        <w:pStyle w:val="Heading1"/>
      </w:pPr>
      <w:r>
        <w:t>11. Module 7 — Precedent Transactions</w:t>
      </w:r>
    </w:p>
    <w:p>
      <w:r>
        <w:t>UI: src/components/precedents/PrecedentTransactions.jsx</w:t>
      </w:r>
    </w:p>
    <w:p>
      <w:r>
        <w:t>6 pre-loaded Egypt/MENA M&amp;A deals (defined in egyptParams.js) with full CRUD capability. Features include search, sector filtering, sortable columns, and analytics cards (deal count, total value, median EV/EBITDA, median premium).</w:t>
      </w:r>
    </w:p>
    <w:p>
      <w:pPr>
        <w:pStyle w:val="Heading2"/>
      </w:pPr>
      <w:r>
        <w:t>Pre-loaded Transactions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($M)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Sector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ADQ — Ras El Hekma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 Estate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ADQ — CIB Stake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FAB — EFG Hermes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Investment Banking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Telecom Egypt — Vodafone Egypt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Telecom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Saudi Egyptian — Sahl El Heisha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 Estate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PIF — Banque du Caire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2023</w:t>
            </w:r>
          </w:p>
        </w:tc>
      </w:tr>
    </w:tbl>
    <w:p>
      <w:pPr>
        <w:pStyle w:val="Heading2"/>
      </w:pPr>
      <w:r>
        <w:t>"Send to Fairness Opinion" Feature</w:t>
      </w:r>
    </w:p>
    <w:p>
      <w:r>
        <w:t>Button calculates the low and high EV/EBITDA multiples from filtered precedent transactions and populates them into the Fairness Opinion module (precedentLow and precedentHigh fields) automatically.</w:t>
      </w:r>
    </w:p>
    <w:p>
      <w:r>
        <w:br w:type="page"/>
      </w:r>
    </w:p>
    <w:p>
      <w:pPr>
        <w:pStyle w:val="Heading1"/>
      </w:pPr>
      <w:r>
        <w:t>12. Module 8 — Regulatory Checklist</w:t>
      </w:r>
    </w:p>
    <w:p>
      <w:r>
        <w:t>UI: src/components/regulatory/RegulatoryChecklist.jsx</w:t>
      </w:r>
    </w:p>
    <w:p>
      <w:pPr>
        <w:pStyle w:val="Heading2"/>
      </w:pPr>
      <w:r>
        <w:t>Checklist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 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ECA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when combined revenue ≥ EGP 100M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Competition Law 3/2005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GAFI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foreign investors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Investment Law 72/2017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Shareholder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Board/EGM resolution 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Companies Law 159/1981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 Pre-Notification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EGX-listed 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Capital Market Law 95/1992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 Tender Offer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at ≥33% of listed 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Capital Market Law 95/1992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Fairness Opinion Filed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MTO by independent advisor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 Regulations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≥10% bank acquisition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Banking Law 194/2020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CBE FX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cross-border USD 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CBE Circular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 Insurance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≥10% insurance co. acquisition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Insurance Law 10/1981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Commercial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Post-closing registration with 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Companies Law 159/1981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pricing &amp; stamp duty filing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Income Tax Law 91/2005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Labor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TUPE equivalent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Labor Law 12/2003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CBE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Post-closing banking license 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Banking Law 194/2020</w:t>
            </w:r>
          </w:p>
        </w:tc>
      </w:tr>
    </w:tbl>
    <w:p>
      <w:pPr>
        <w:pStyle w:val="Heading2"/>
      </w:pPr>
      <w:r>
        <w:t>Gantt Chart</w:t>
      </w:r>
    </w:p>
    <w:p>
      <w:r>
        <w:t>When a Deal Start Date is entered, the module generates a Gantt chart showing major milestones and their expected timelines. Phases include Signing, Regulatory Approvals, CBE Review, ECA Review, Closing, and Post-Closing Integration. The timeline adapts based on whether CBE approval is required (banks add ~12 weeks to the process).</w:t>
      </w:r>
    </w:p>
    <w:p>
      <w:r>
        <w:br w:type="page"/>
      </w:r>
    </w:p>
    <w:p>
      <w:pPr>
        <w:pStyle w:val="Heading1"/>
      </w:pPr>
      <w:r>
        <w:t>13. Module 9 — Dispatch PDF</w:t>
      </w:r>
    </w:p>
    <w:p>
      <w:r>
        <w:t>UI: src/components/dispatch/DispatchPDF.jsx</w:t>
      </w:r>
    </w:p>
    <w:p>
      <w:r>
        <w:t>Generates a 7-page A4 Deal Memorandum PDF using jsPDF. The document includes VALOR branding, cover page, deal overview, Sources &amp; Uses, LBO analysis, synergy summary, fairness opinion, regulatory checklist status, and an Egyptian regulatory disclaimer.</w:t>
      </w:r>
    </w:p>
    <w:p>
      <w:pPr>
        <w:pStyle w:val="Heading2"/>
      </w:pPr>
      <w:r>
        <w:t>PDF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 page with campaign name, deal parties, date, VALOR branding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Deal Overview — purchase price, premium, consideration mix, key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Sources &amp; Uses table with balance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LBO Summary — entry metrics, returns (IRR/MOIC), leverage 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Synergy Analysis — NPV, payback, goodwill coverage, breakdown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Fairness Opinion — per-methodology ranges, determination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Regulatory Checklist + Disclaimer</w:t>
            </w:r>
          </w:p>
        </w:tc>
      </w:tr>
    </w:tbl>
    <w:p>
      <w:r>
        <w:br w:type="page"/>
      </w:r>
    </w:p>
    <w:p>
      <w:pPr>
        <w:pStyle w:val="Heading1"/>
      </w:pPr>
      <w:r>
        <w:t>14. Egyptian Regulatory Parameters</w:t>
      </w:r>
    </w:p>
    <w:p>
      <w:r>
        <w:t>File: src/constants/egyptParams.js (192 lines)</w:t>
      </w:r>
    </w:p>
    <w:p>
      <w:r>
        <w:t>All parameters are sourced from Egyptian law and regulatory framework. They must be updated periodically as laws change.</w:t>
      </w:r>
    </w:p>
    <w:p>
      <w:pPr>
        <w:pStyle w:val="Heading2"/>
      </w:pPr>
      <w:r>
        <w:t>Taxation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Corporate Tax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CORPORATE_TAX_RATE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Tax Law 91/2005, Art. 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Corporate Tax (Oil &amp; Gas)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CORPORATE_TAX_RATE_OIL_GAS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Tax Law 91/2005, Art. 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CGT (Listed Securities)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CAPITAL_GAINS_TAX_LISTED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 Market Law amendments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CGT (Unlisted)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CAPITAL_GAINS_TAX_UNLISTED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Tax Law 91/2005, Art. 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Stamp Duty (per side)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STAMP_DUTY_RATE_PER_SIDE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Stamp Tax Law 111/1980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Dividend WHT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DIVIDEND_WITHHOLDING_TAX_RESIDENT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Income Tax Law amendments</w:t>
            </w:r>
          </w:p>
        </w:tc>
      </w:tr>
    </w:tbl>
    <w:p>
      <w:pPr>
        <w:pStyle w:val="Heading2"/>
      </w:pPr>
      <w:r>
        <w:t>Central Bank of Egypt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Constant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Overnight Lending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CBE_OVERNIGHT_LENDING_RATE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Overnight Deposit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27.25%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CBE_OVERNIGHT_DEPOSIT_RATE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Discount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CBE_DISCOUNT_RATE</w:t>
            </w:r>
          </w:p>
        </w:tc>
      </w:tr>
    </w:tbl>
    <w:p>
      <w:pPr>
        <w:pStyle w:val="Heading2"/>
      </w:pPr>
      <w:r>
        <w:t>FX Rates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Constant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USD/EGP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USD_EGP_RATE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SAR/EGP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SAR_EGP_RATE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AED/EGP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AED_EGP_RATE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EUR/EGP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EUR_EGP_RATE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GBP/EGP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GBP_EGP_RATE</w:t>
            </w:r>
          </w:p>
        </w:tc>
      </w:tr>
    </w:tbl>
    <w:p>
      <w:pPr>
        <w:pStyle w:val="Heading2"/>
      </w:pPr>
      <w:r>
        <w:t>Regulatory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MTO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MANDATORY_TENDER_OFFER_THRESHOLD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 Market Law 95/1992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 Revenue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EGP 100M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ECA_NOTIFICATION_THRESHOLD_REVENUE_EGP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Competition Law 3/2005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 Market 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ECA_MARKET_SHARE_THRESHOLD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Competition Law 3/2005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CBE Bank Acquisition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CBE_BANK_ACQUISITION_THRESHOLD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Banking Law 194/2020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CBE Bank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CBE_BANK_CONTROL_THRESHOLD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Banking Law 194/2020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 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FRA_INSURANCE_THRESHOLD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Insurance Law 10/1981</w:t>
            </w:r>
          </w:p>
        </w:tc>
      </w:tr>
    </w:tbl>
    <w:p>
      <w:pPr>
        <w:pStyle w:val="Heading2"/>
      </w:pPr>
      <w:r>
        <w:t>Labor &amp; Accounting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Severance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months/year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SEVERANCE_MONTHS_PER_YEAR_OF_SERVICE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Labor Law 12/2003, Art. 120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Insurance (Employer)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SOCIAL_INSURANCE_EMPLOYER_RATE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Law 148/2019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Insurance (Employee)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SOCIAL_INSURANCE_EMPLOYEE_RATE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Law 148/2019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Profit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EMPLOYEE_PROFIT_SHARING_RATE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Labor Law 12/2003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Goodwill Amortization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GOODWILL_AMORTIZATION_YEARS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EAS No. 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EGX_RISK_FREE_RATE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Treasury bills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Equity Risk Premium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EGYPT_EQUITY_RISK_PREMIUM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estimate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 Risk Premium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EGYPT_COUNTRY_RISK_PREMIUM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Damodaran estimate</w:t>
            </w:r>
          </w:p>
        </w:tc>
      </w:tr>
    </w:tbl>
    <w:p>
      <w:r>
        <w:br w:type="page"/>
      </w:r>
    </w:p>
    <w:p>
      <w:pPr>
        <w:pStyle w:val="Heading1"/>
      </w:pPr>
      <w:r>
        <w:t>15. Shared UI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Props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shared/InputField.jsx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label, value, onChange, suffix, step, tooltip, min, 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Reusable numeric input with label, suffix (%, x, EGP M), tooltip, and step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MetricCard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shared/MetricCard.jsx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value, subtitle, color, 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display card with icon and colored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SectionHeader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shared/SectionHeader.jsx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icon, collapsible, children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Collapsible section header with golden accent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shared/StatusBadge.jsx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status,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badge (success/warning/error)</w:t>
            </w:r>
          </w:p>
        </w:tc>
      </w:tr>
    </w:tbl>
    <w:p>
      <w:r>
        <w:br w:type="page"/>
      </w:r>
    </w:p>
    <w:p>
      <w:pPr>
        <w:pStyle w:val="Heading1"/>
      </w:pPr>
      <w:r>
        <w:t>16. Styling &amp; Design System</w:t>
      </w:r>
    </w:p>
    <w:p>
      <w:pPr>
        <w:pStyle w:val="Heading2"/>
      </w:pPr>
      <w:r>
        <w:t>Color Palette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#0B0F1A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 app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#111D33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Card/panel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#1E3050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Borders, dividers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#C5A44E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Headings, accents, brand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#E8ECF1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#7C8DB0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Secondary text, labels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#22C55E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Accretive, pass, balanced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#EF4444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Dilutive, fail, breach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#F59E0B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Moderate, attention</w:t>
            </w:r>
          </w:p>
        </w:tc>
      </w:tr>
    </w:tbl>
    <w:p>
      <w:pPr>
        <w:pStyle w:val="Heading2"/>
      </w:pPr>
      <w:r>
        <w:t>Typography</w:t>
      </w:r>
    </w:p>
    <w:p>
      <w:r>
        <w:t>Headlines: Playfair Display (serif) — used for major section titles and VALOR branding</w:t>
      </w:r>
    </w:p>
    <w:p>
      <w:r>
        <w:t>Body: Inter / system sans-serif — used for all data, inputs, and labels</w:t>
      </w:r>
    </w:p>
    <w:p>
      <w:r>
        <w:t>Code/Numbers: JetBrains Mono / Consolas — used for monospace financial data display</w:t>
      </w:r>
    </w:p>
    <w:p>
      <w:pPr>
        <w:pStyle w:val="Heading2"/>
      </w:pPr>
      <w:r>
        <w:t>Key CSS Animations (index.css)</w:t>
      </w:r>
    </w:p>
    <w:p>
      <w:r>
        <w:t>animate-fade-in: opacity 0→1 with translateY, 0.5s ease-out</w:t>
      </w:r>
    </w:p>
    <w:p>
      <w:r>
        <w:t>animate-slide-in-left: translateX(-20px→0) with opacity, 0.3s</w:t>
      </w:r>
    </w:p>
    <w:p>
      <w:r>
        <w:t>animate-pulse-gold: subtle golden glow pulse on active elements</w:t>
      </w:r>
    </w:p>
    <w:p>
      <w:r>
        <w:br w:type="page"/>
      </w:r>
    </w:p>
    <w:p>
      <w:pPr>
        <w:pStyle w:val="Heading1"/>
      </w:pPr>
      <w:r>
        <w:t>17. Development Workflow</w:t>
      </w:r>
    </w:p>
    <w:p>
      <w:pPr>
        <w:pStyle w:val="Heading2"/>
      </w:pPr>
      <w:r>
        <w:t>Adding a New Input Field</w:t>
      </w:r>
    </w:p>
    <w:p>
      <w:r>
        <w:t>1. Add the field to initialState in DealContext.jsx (in the appropriate section)</w:t>
      </w:r>
    </w:p>
    <w:p>
      <w:r>
        <w:t>2. If needed, add a new reducer case in dealReducer (usually UPDATE_* works)</w:t>
      </w:r>
    </w:p>
    <w:p>
      <w:r>
        <w:t>3. Add an &lt;InputField&gt; component in the module's UI component</w:t>
      </w:r>
    </w:p>
    <w:p>
      <w:r>
        <w:t>4. Wire it up: value={state.field}, onChange={(v) =&gt; dispatch({type: "UPDATE_*", payload: {field: v}})}</w:t>
      </w:r>
    </w:p>
    <w:p>
      <w:pPr>
        <w:pStyle w:val="Heading2"/>
      </w:pPr>
      <w:r>
        <w:t>Adding a New Calculation</w:t>
      </w:r>
    </w:p>
    <w:p>
      <w:r>
        <w:t>1. Open the relevant hook (useMergerCalculations.js, useSynergyCalculations.js, or useLBOCalculations.js)</w:t>
      </w:r>
    </w:p>
    <w:p>
      <w:r>
        <w:t>2. Add the calculation inside the useMemo callback</w:t>
      </w:r>
    </w:p>
    <w:p>
      <w:r>
        <w:t>3. Return the new value in the return object</w:t>
      </w:r>
    </w:p>
    <w:p>
      <w:r>
        <w:t>4. Access it in components via const calc = useMergerCalculations(acquirer, target, dealTerms)</w:t>
      </w:r>
    </w:p>
    <w:p>
      <w:pPr>
        <w:pStyle w:val="Heading2"/>
      </w:pPr>
      <w:r>
        <w:t>Adding a New Module</w:t>
      </w:r>
    </w:p>
    <w:p>
      <w:r>
        <w:t>1. Create component(s) in src/components/[module-name]/</w:t>
      </w:r>
    </w:p>
    <w:p>
      <w:r>
        <w:t>2. Add module state to initialState in DealContext.jsx</w:t>
      </w:r>
    </w:p>
    <w:p>
      <w:r>
        <w:t>3. Add reducer case (e.g., UPDATE_MODULE_NAME)</w:t>
      </w:r>
    </w:p>
    <w:p>
      <w:r>
        <w:t>4. Import component in App.jsx and add case to renderModule() switch</w:t>
      </w:r>
    </w:p>
    <w:p>
      <w:r>
        <w:t>5. Add sidebar entry in Sidebar.jsx (icon, label, slug)</w:t>
      </w:r>
    </w:p>
    <w:p>
      <w:pPr>
        <w:pStyle w:val="Heading2"/>
      </w:pPr>
      <w:r>
        <w:t>Updating Egyptian Parameters</w:t>
      </w:r>
    </w:p>
    <w:p>
      <w:r>
        <w:t>All regulated constants are centralized in src/constants/egyptParams.js. When CBE rates change, tax law is amended, or regulatory thresholds update, modify ONLY this file. All calculations automatically reference these constants.</w:t>
      </w:r>
    </w:p>
    <w:p>
      <w:r>
        <w:br w:type="page"/>
      </w:r>
    </w:p>
    <w:p>
      <w:pPr>
        <w:pStyle w:val="Heading1"/>
      </w:pPr>
      <w:r>
        <w:t>18. Future Development Roadmap</w:t>
      </w:r>
    </w:p>
    <w:p>
      <w:pPr>
        <w:pStyle w:val="ListBullet"/>
      </w:pPr>
      <w:r>
        <w:rPr>
          <w:b/>
        </w:rPr>
        <w:t xml:space="preserve">DCF Module: </w:t>
      </w:r>
      <w:r>
        <w:t>Full discounted cash flow model with WACC calculator, terminal value (Gordon Growth + Exit Multiple), and sensitivity tables</w:t>
      </w:r>
    </w:p>
    <w:p>
      <w:pPr>
        <w:pStyle w:val="ListBullet"/>
      </w:pPr>
      <w:r>
        <w:rPr>
          <w:b/>
        </w:rPr>
        <w:t xml:space="preserve">Trading Comparables: </w:t>
      </w:r>
      <w:r>
        <w:t>Import comparable companies from EGX/MENA, calculate relative valuation multiples</w:t>
      </w:r>
    </w:p>
    <w:p>
      <w:pPr>
        <w:pStyle w:val="ListBullet"/>
      </w:pPr>
      <w:r>
        <w:rPr>
          <w:b/>
        </w:rPr>
        <w:t xml:space="preserve">Data Persistence: </w:t>
      </w:r>
      <w:r>
        <w:t>LocalStorage or backend API to save/load deal campaigns</w:t>
      </w:r>
    </w:p>
    <w:p>
      <w:pPr>
        <w:pStyle w:val="ListBullet"/>
      </w:pPr>
      <w:r>
        <w:rPr>
          <w:b/>
        </w:rPr>
        <w:t xml:space="preserve">Multi-User Collaboration: </w:t>
      </w:r>
      <w:r>
        <w:t>WebSocket-based real-time collaboration on deals</w:t>
      </w:r>
    </w:p>
    <w:p>
      <w:pPr>
        <w:pStyle w:val="ListBullet"/>
      </w:pPr>
      <w:r>
        <w:rPr>
          <w:b/>
        </w:rPr>
        <w:t xml:space="preserve">Excel Import/Export: </w:t>
      </w:r>
      <w:r>
        <w:t>Import financial data from Excel; export full model to .xlsx workbook</w:t>
      </w:r>
    </w:p>
    <w:p>
      <w:pPr>
        <w:pStyle w:val="ListBullet"/>
      </w:pPr>
      <w:r>
        <w:rPr>
          <w:b/>
        </w:rPr>
        <w:t xml:space="preserve">Audit Trail: </w:t>
      </w:r>
      <w:r>
        <w:t>Track all input changes with timestamps for compliance documentation</w:t>
      </w:r>
    </w:p>
    <w:p>
      <w:pPr>
        <w:pStyle w:val="ListBullet"/>
      </w:pPr>
      <w:r>
        <w:rPr>
          <w:b/>
        </w:rPr>
        <w:t xml:space="preserve">Monte Carlo Simulation: </w:t>
      </w:r>
      <w:r>
        <w:t>Probabilistic IRR/MOIC distribution using parameter ranges</w:t>
      </w:r>
    </w:p>
    <w:p>
      <w:pPr>
        <w:pStyle w:val="ListBullet"/>
      </w:pPr>
      <w:r>
        <w:rPr>
          <w:b/>
        </w:rPr>
        <w:t xml:space="preserve">API Integration: </w:t>
      </w:r>
      <w:r>
        <w:t>Connect to EGX market data feed for live share prices and trading volumes</w:t>
      </w:r>
    </w:p>
    <w:p>
      <w:pPr>
        <w:pStyle w:val="ListBullet"/>
      </w:pPr>
      <w:r>
        <w:rPr>
          <w:b/>
        </w:rPr>
        <w:t xml:space="preserve">Mobile Responsive: </w:t>
      </w:r>
      <w:r>
        <w:t>Optimize layout for tablet/mobile usage in field meetings</w:t>
      </w:r>
    </w:p>
    <w:p>
      <w:pPr>
        <w:pStyle w:val="ListBullet"/>
      </w:pPr>
      <w:r>
        <w:rPr>
          <w:b/>
        </w:rPr>
        <w:t xml:space="preserve">Dark/Light Theme Toggle: </w:t>
      </w:r>
      <w:r>
        <w:t>Add light theme option while preserving VALOR branding</w:t>
      </w:r>
    </w:p>
    <w:p/>
    <w:p/>
    <w:p>
      <w:pPr>
        <w:jc w:val="center"/>
      </w:pPr>
      <w:r>
        <w:rPr>
          <w:i/>
          <w:color w:val="999999"/>
        </w:rPr>
        <w:t>— End of Document —</w:t>
      </w:r>
    </w:p>
    <w:p>
      <w:pPr>
        <w:jc w:val="center"/>
      </w:pPr>
      <w:r>
        <w:rPr>
          <w:b/>
          <w:color w:val="C5A44E"/>
          <w:sz w:val="22"/>
        </w:rPr>
        <w:t>⚔️ VALOR M&amp;A Engine · "Courage Meets Capital" · v1.0.0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