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8.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Chloride-conductance calibration: sampling plan and laboratory cost options</w:t>
      </w:r>
    </w:p>
    <w:p>
      <w:pPr>
        <w:pStyle w:val="Subtitle"/>
      </w:pPr>
      <w:r>
        <w:t xml:space="preserve">Steamboat Hills geothermal outflow, Steamboat Creek (SBRR and SBGG)</w:t>
      </w:r>
    </w:p>
    <w:p>
      <w:pPr>
        <w:pStyle w:val="Author"/>
      </w:pPr>
      <w:r>
        <w:t xml:space="preserve">Tyler Irvin, University of Nevada, Reno</w:t>
      </w:r>
    </w:p>
    <w:p>
      <w:pPr>
        <w:pStyle w:val="Date"/>
      </w:pPr>
      <w:r>
        <w:t xml:space="preserve">2026-10-29</w:t>
      </w:r>
    </w:p>
    <w:bookmarkStart w:id="9" w:name="summary"/>
    <w:p>
      <w:pPr>
        <w:pStyle w:val="Heading2"/>
      </w:pPr>
      <w:r>
        <w:t xml:space="preserve">Summary</w:t>
      </w:r>
    </w:p>
    <w:p>
      <w:pPr>
        <w:pStyle w:val="FirstParagraph"/>
      </w:pPr>
      <w:r>
        <w:t xml:space="preserve">I am calibrating continuous specific conductance from two in-stream loggers (SBRR at Rhodes Road above the thermal inflow, and SBGG at Geiger Grade below it) against laboratory chloride.</w:t>
      </w:r>
      <w:r>
        <w:t xml:space="preserve"> </w:t>
      </w:r>
      <w:r>
        <w:rPr>
          <w:b/>
          <w:bCs/>
        </w:rPr>
        <w:t xml:space="preserve">Method:</w:t>
      </w:r>
      <w:r>
        <w:t xml:space="preserve"> </w:t>
      </w:r>
      <w:r>
        <w:t xml:space="preserve">paired grab samples bracket logger readings; chloride (and major ions, alkalinity, field pH/temperature/conductance) is measured at the lab, and I fit time-aware models (linear, GAM, random forest) validated with rolling-origin cross-validation.</w:t>
      </w:r>
      <w:r>
        <w:t xml:space="preserve"> </w:t>
      </w:r>
      <w:r>
        <w:rPr>
          <w:b/>
          <w:bCs/>
        </w:rPr>
        <w:t xml:space="preserve">Application:</w:t>
      </w:r>
      <w:r>
        <w:t xml:space="preserve"> </w:t>
      </w:r>
      <w:r>
        <w:t xml:space="preserve">the calibrated record gives continuous chloride flux, which is the standard tracer for thermal-water discharge at Steamboat (Sorey and Spielman 2008, 2017). It lets us ask whether the 2025 Lower Sinter Terrace eruption changed outflow, and it replaces the sparse, expensive chemistry that has limited the discharge record.</w:t>
      </w:r>
      <w:r>
        <w:t xml:space="preserve"> </w:t>
      </w:r>
      <w:r>
        <w:rPr>
          <w:b/>
          <w:bCs/>
        </w:rPr>
        <w:t xml:space="preserve">Reasoning:</w:t>
      </w:r>
      <w:r>
        <w:t xml:space="preserve"> </w:t>
      </w:r>
      <w:r>
        <w:t xml:space="preserve">a Monte Carlo test on the real logger record (with the days the loggers sat in open air removed) shows daily sampling gives a reconstruction error of about 3-4% of mean conductance, while biweekly sampling gives about 8-10%, and 7-13% depending on the start day, so a short intensive window followed by monthly samples across a full year captures both fast variability and seasonal stability.</w:t>
      </w:r>
      <w:r>
        <w:t xml:space="preserve"> </w:t>
      </w:r>
      <w:r>
        <w:rPr>
          <w:b/>
          <w:bCs/>
        </w:rPr>
        <w:t xml:space="preserve">Hypothesis:</w:t>
      </w:r>
      <w:r>
        <w:t xml:space="preserve"> </w:t>
      </w:r>
      <w:r>
        <w:t xml:space="preserve">one site-specific relationship between conductance and chloride holds through the year, with deviations during storms and snowmelt from dilution.</w:t>
      </w:r>
      <w:r>
        <w:t xml:space="preserve"> </w:t>
      </w:r>
      <w:r>
        <w:rPr>
          <w:b/>
          <w:bCs/>
        </w:rPr>
        <w:t xml:space="preserve">Value:</w:t>
      </w:r>
      <w:r>
        <w:t xml:space="preserve"> </w:t>
      </w:r>
      <w:r>
        <w:t xml:space="preserve">once calibrated, the loggers give a continuous chloride and thermal-discharge record for a small fraction of the cost of regular chemistry, and the same samples provide the end-member chemistry for the mixing and reactive-transport work.</w:t>
      </w:r>
    </w:p>
    <w:bookmarkEnd w:id="9"/>
    <w:bookmarkStart w:id="10" w:name="sampling-plan"/>
    <w:p>
      <w:pPr>
        <w:pStyle w:val="Heading2"/>
      </w:pPr>
      <w:r>
        <w:t xml:space="preserve">Sampling 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Sites</w:t>
            </w:r>
          </w:p>
        </w:tc>
        <w:tc>
          <w:tcPr/>
          <w:p>
            <w:pPr>
              <w:pStyle w:val="Compact"/>
            </w:pPr>
            <w:r>
              <w:t xml:space="preserve">Cadence and timing</w:t>
            </w:r>
          </w:p>
        </w:tc>
        <w:tc>
          <w:tcPr/>
          <w:p>
            <w:pPr>
              <w:pStyle w:val="Compact"/>
            </w:pPr>
            <w:r>
              <w:t xml:space="preserve">What is measured</w:t>
            </w:r>
          </w:p>
        </w:tc>
      </w:tr>
      <w:tr>
        <w:tc>
          <w:tcPr/>
          <w:p>
            <w:pPr>
              <w:pStyle w:val="Compact"/>
            </w:pPr>
            <w:r>
              <w:t xml:space="preserve">Intensive calibration</w:t>
            </w:r>
          </w:p>
        </w:tc>
        <w:tc>
          <w:tcPr/>
          <w:p>
            <w:pPr>
              <w:pStyle w:val="Compact"/>
            </w:pPr>
            <w:r>
              <w:t xml:space="preserve">SBRR, SBGG</w:t>
            </w:r>
          </w:p>
        </w:tc>
        <w:tc>
          <w:tcPr/>
          <w:p>
            <w:pPr>
              <w:pStyle w:val="Compact"/>
            </w:pPr>
            <w:r>
              <w:t xml:space="preserve">Daily (or sub-daily) for 5, 7 or 14 days; start fall/winter 2026</w:t>
            </w:r>
          </w:p>
        </w:tc>
        <w:tc>
          <w:tcPr/>
          <w:p>
            <w:pPr>
              <w:pStyle w:val="Compact"/>
            </w:pPr>
            <w:r>
              <w:t xml:space="preserve">Cl, anions, cations, alkalinity (package set below); field pH, temperature, conductance</w:t>
            </w:r>
          </w:p>
        </w:tc>
      </w:tr>
      <w:tr>
        <w:tc>
          <w:tcPr/>
          <w:p>
            <w:pPr>
              <w:pStyle w:val="Compact"/>
            </w:pPr>
            <w:r>
              <w:t xml:space="preserve">Monthly seasonal sampling</w:t>
            </w:r>
          </w:p>
        </w:tc>
        <w:tc>
          <w:tcPr/>
          <w:p>
            <w:pPr>
              <w:pStyle w:val="Compact"/>
            </w:pPr>
            <w:r>
              <w:t xml:space="preserve">SBRR, SBGG</w:t>
            </w:r>
          </w:p>
        </w:tc>
        <w:tc>
          <w:tcPr/>
          <w:p>
            <w:pPr>
              <w:pStyle w:val="Compact"/>
            </w:pPr>
            <w:r>
              <w:t xml:space="preserve">Once a month for 5 or 12 months after the intensive window</w:t>
            </w:r>
          </w:p>
        </w:tc>
        <w:tc>
          <w:tcPr/>
          <w:p>
            <w:pPr>
              <w:pStyle w:val="Compact"/>
            </w:pPr>
            <w:r>
              <w:t xml:space="preserve">Same package</w:t>
            </w:r>
          </w:p>
        </w:tc>
      </w:tr>
      <w:tr>
        <w:tc>
          <w:tcPr/>
          <w:p>
            <w:pPr>
              <w:pStyle w:val="Compact"/>
            </w:pPr>
            <w:r>
              <w:t xml:space="preserve">Storm / snowmelt</w:t>
            </w:r>
          </w:p>
        </w:tc>
        <w:tc>
          <w:tcPr/>
          <w:p>
            <w:pPr>
              <w:pStyle w:val="Compact"/>
            </w:pPr>
            <w:r>
              <w:t xml:space="preserve">SBRR, SBGG</w:t>
            </w:r>
          </w:p>
        </w:tc>
        <w:tc>
          <w:tcPr/>
          <w:p>
            <w:pPr>
              <w:pStyle w:val="Compact"/>
            </w:pPr>
            <w:r>
              <w:t xml:space="preserve">1 to 4 events, 2 samples per event</w:t>
            </w:r>
          </w:p>
        </w:tc>
        <w:tc>
          <w:tcPr/>
          <w:p>
            <w:pPr>
              <w:pStyle w:val="Compact"/>
            </w:pPr>
            <w:r>
              <w:t xml:space="preserve">Same package</w:t>
            </w:r>
          </w:p>
        </w:tc>
      </w:tr>
      <w:tr>
        <w:tc>
          <w:tcPr/>
          <w:p>
            <w:pPr>
              <w:pStyle w:val="Compact"/>
            </w:pPr>
            <w:r>
              <w:t xml:space="preserve">Extra sites (Full tier only)</w:t>
            </w:r>
          </w:p>
        </w:tc>
        <w:tc>
          <w:tcPr/>
          <w:p>
            <w:pPr>
              <w:pStyle w:val="Compact"/>
            </w:pPr>
            <w:r>
              <w:t xml:space="preserve">SBW_0001, SBW_0002, active fissure (access permitting)</w:t>
            </w:r>
          </w:p>
        </w:tc>
        <w:tc>
          <w:tcPr/>
          <w:p>
            <w:pPr>
              <w:pStyle w:val="Compact"/>
            </w:pPr>
            <w:r>
              <w:t xml:space="preserve">Quarterly</w:t>
            </w:r>
          </w:p>
        </w:tc>
        <w:tc>
          <w:tcPr/>
          <w:p>
            <w:pPr>
              <w:pStyle w:val="Compact"/>
            </w:pPr>
            <w:r>
              <w:t xml:space="preserve">Same package</w:t>
            </w:r>
          </w:p>
        </w:tc>
      </w:tr>
      <w:tr>
        <w:tc>
          <w:tcPr/>
          <w:p>
            <w:pPr>
              <w:pStyle w:val="Compact"/>
            </w:pPr>
            <w:r>
              <w:t xml:space="preserve">Isotopes</w:t>
            </w:r>
          </w:p>
        </w:tc>
        <w:tc>
          <w:tcPr/>
          <w:p>
            <w:pPr>
              <w:pStyle w:val="Compact"/>
            </w:pPr>
            <w:r>
              <w:t xml:space="preserve">SBRR, SBGG (subset)</w:t>
            </w:r>
          </w:p>
        </w:tc>
        <w:tc>
          <w:tcPr/>
          <w:p>
            <w:pPr>
              <w:pStyle w:val="Compact"/>
            </w:pPr>
            <w:r>
              <w:t xml:space="preserve">About one sample per site per season with a regular visit</w:t>
            </w:r>
          </w:p>
        </w:tc>
        <w:tc>
          <w:tcPr/>
          <w:p>
            <w:pPr>
              <w:pStyle w:val="Compact"/>
            </w:pPr>
            <w:r>
              <w:t xml:space="preserve">delta-18O, delta-D</w:t>
            </w:r>
          </w:p>
        </w:tc>
      </w:tr>
      <w:tr>
        <w:tc>
          <w:tcPr/>
          <w:p>
            <w:pPr>
              <w:pStyle w:val="Compact"/>
            </w:pPr>
            <w:r>
              <w:t xml:space="preserve">QA</w:t>
            </w:r>
          </w:p>
        </w:tc>
        <w:tc>
          <w:tcPr/>
          <w:p>
            <w:pPr>
              <w:pStyle w:val="Compact"/>
            </w:pPr>
            <w:r>
              <w:t xml:space="preserve">All</w:t>
            </w:r>
          </w:p>
        </w:tc>
        <w:tc>
          <w:tcPr/>
          <w:p>
            <w:pPr>
              <w:pStyle w:val="Compact"/>
            </w:pPr>
            <w:r>
              <w:t xml:space="preserve">10% duplicates and blanks</w:t>
            </w:r>
          </w:p>
        </w:tc>
        <w:tc>
          <w:tcPr/>
          <w:p>
            <w:pPr>
              <w:pStyle w:val="Compact"/>
            </w:pPr>
            <w:r>
              <w:t xml:space="preserve">Same package</w:t>
            </w:r>
          </w:p>
        </w:tc>
      </w:tr>
    </w:tbl>
    <w:p>
      <w:pPr>
        <w:pStyle w:val="BodyText"/>
      </w:pPr>
      <w:r>
        <w:t xml:space="preserve"> </w:t>
      </w:r>
    </w:p>
    <w:p>
      <w:pPr>
        <w:pStyle w:val="TableCaption"/>
      </w:pPr>
      <w:r>
        <w:t xml:space="preserve">Sample counts by tier.</w:t>
      </w:r>
    </w:p>
    <w:tbl>
      <w:tblPr>
        <w:tblStyle w:val="Table"/>
        <w:tblW w:type="pct" w:w="5000"/>
        <w:tblLayout w:type="fixed"/>
        <w:tblLook w:firstRow="1" w:lastRow="0" w:firstColumn="0" w:lastColumn="0" w:noHBand="0" w:noVBand="0" w:val="0020"/>
        <w:tblCaption w:val="Sample counts by tier."/>
      </w:tblPr>
      <w:tblGrid>
        <w:gridCol w:w="896"/>
        <w:gridCol w:w="1344"/>
        <w:gridCol w:w="597"/>
        <w:gridCol w:w="971"/>
        <w:gridCol w:w="896"/>
        <w:gridCol w:w="672"/>
        <w:gridCol w:w="1344"/>
        <w:gridCol w:w="1195"/>
      </w:tblGrid>
      <w:tr>
        <w:trPr>
          <w:tblHeader w:val="on"/>
        </w:trPr>
        <w:tc>
          <w:tcPr/>
          <w:p>
            <w:pPr>
              <w:pStyle w:val="Compact"/>
              <w:jc w:val="left"/>
            </w:pPr>
            <w:r>
              <w:t xml:space="preserve">Tier</w:t>
            </w:r>
          </w:p>
        </w:tc>
        <w:tc>
          <w:tcPr/>
          <w:p>
            <w:pPr>
              <w:pStyle w:val="Compact"/>
              <w:jc w:val="right"/>
            </w:pPr>
            <w:r>
              <w:t xml:space="preserve">Intensive (daily)</w:t>
            </w:r>
          </w:p>
        </w:tc>
        <w:tc>
          <w:tcPr/>
          <w:p>
            <w:pPr>
              <w:pStyle w:val="Compact"/>
              <w:jc w:val="right"/>
            </w:pPr>
            <w:r>
              <w:t xml:space="preserve">Monthly</w:t>
            </w:r>
          </w:p>
        </w:tc>
        <w:tc>
          <w:tcPr/>
          <w:p>
            <w:pPr>
              <w:pStyle w:val="Compact"/>
              <w:jc w:val="right"/>
            </w:pPr>
            <w:r>
              <w:t xml:space="preserve">Storm / melt</w:t>
            </w:r>
          </w:p>
        </w:tc>
        <w:tc>
          <w:tcPr/>
          <w:p>
            <w:pPr>
              <w:pStyle w:val="Compact"/>
              <w:jc w:val="right"/>
            </w:pPr>
            <w:r>
              <w:t xml:space="preserve">Extra sites</w:t>
            </w:r>
          </w:p>
        </w:tc>
        <w:tc>
          <w:tcPr/>
          <w:p>
            <w:pPr>
              <w:pStyle w:val="Compact"/>
              <w:jc w:val="right"/>
            </w:pPr>
            <w:r>
              <w:t xml:space="preserve">QA (10%)</w:t>
            </w:r>
          </w:p>
        </w:tc>
        <w:tc>
          <w:tcPr/>
          <w:p>
            <w:pPr>
              <w:pStyle w:val="Compact"/>
              <w:jc w:val="right"/>
            </w:pPr>
            <w:r>
              <w:t xml:space="preserve">Chemistry samples</w:t>
            </w:r>
          </w:p>
        </w:tc>
        <w:tc>
          <w:tcPr/>
          <w:p>
            <w:pPr>
              <w:pStyle w:val="Compact"/>
              <w:jc w:val="right"/>
            </w:pPr>
            <w:r>
              <w:t xml:space="preserve">Isotope samples</w:t>
            </w:r>
          </w:p>
        </w:tc>
      </w:tr>
      <w:tr>
        <w:tc>
          <w:tcPr/>
          <w:p>
            <w:pPr>
              <w:pStyle w:val="Compact"/>
              <w:jc w:val="left"/>
            </w:pPr>
            <w:r>
              <w:t xml:space="preserve">Lean</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22</w:t>
            </w:r>
          </w:p>
        </w:tc>
        <w:tc>
          <w:tcPr/>
          <w:p>
            <w:pPr>
              <w:pStyle w:val="Compact"/>
              <w:jc w:val="right"/>
            </w:pPr>
            <w:r>
              <w:t xml:space="preserve">4</w:t>
            </w:r>
          </w:p>
        </w:tc>
      </w:tr>
      <w:tr>
        <w:tc>
          <w:tcPr/>
          <w:p>
            <w:pPr>
              <w:pStyle w:val="Compact"/>
              <w:jc w:val="left"/>
            </w:pPr>
            <w:r>
              <w:t xml:space="preserve">Recommended</w:t>
            </w:r>
          </w:p>
        </w:tc>
        <w:tc>
          <w:tcPr/>
          <w:p>
            <w:pPr>
              <w:pStyle w:val="Compact"/>
              <w:jc w:val="right"/>
            </w:pPr>
            <w:r>
              <w:t xml:space="preserve">14</w:t>
            </w:r>
          </w:p>
        </w:tc>
        <w:tc>
          <w:tcPr/>
          <w:p>
            <w:pPr>
              <w:pStyle w:val="Compact"/>
              <w:jc w:val="right"/>
            </w:pPr>
            <w:r>
              <w:t xml:space="preserve">24</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44</w:t>
            </w:r>
          </w:p>
        </w:tc>
        <w:tc>
          <w:tcPr/>
          <w:p>
            <w:pPr>
              <w:pStyle w:val="Compact"/>
              <w:jc w:val="right"/>
            </w:pPr>
            <w:r>
              <w:t xml:space="preserve">8</w:t>
            </w:r>
          </w:p>
        </w:tc>
      </w:tr>
      <w:tr>
        <w:tc>
          <w:tcPr/>
          <w:p>
            <w:pPr>
              <w:pStyle w:val="Compact"/>
              <w:jc w:val="left"/>
            </w:pPr>
            <w:r>
              <w:t xml:space="preserve">Full</w:t>
            </w:r>
          </w:p>
        </w:tc>
        <w:tc>
          <w:tcPr/>
          <w:p>
            <w:pPr>
              <w:pStyle w:val="Compact"/>
              <w:jc w:val="right"/>
            </w:pPr>
            <w:r>
              <w:t xml:space="preserve">28</w:t>
            </w:r>
          </w:p>
        </w:tc>
        <w:tc>
          <w:tcPr/>
          <w:p>
            <w:pPr>
              <w:pStyle w:val="Compact"/>
              <w:jc w:val="right"/>
            </w:pPr>
            <w:r>
              <w:t xml:space="preserve">24</w:t>
            </w:r>
          </w:p>
        </w:tc>
        <w:tc>
          <w:tcPr/>
          <w:p>
            <w:pPr>
              <w:pStyle w:val="Compact"/>
              <w:jc w:val="right"/>
            </w:pPr>
            <w:r>
              <w:t xml:space="preserve">8</w:t>
            </w:r>
          </w:p>
        </w:tc>
        <w:tc>
          <w:tcPr/>
          <w:p>
            <w:pPr>
              <w:pStyle w:val="Compact"/>
              <w:jc w:val="right"/>
            </w:pPr>
            <w:r>
              <w:t xml:space="preserve">12</w:t>
            </w:r>
          </w:p>
        </w:tc>
        <w:tc>
          <w:tcPr/>
          <w:p>
            <w:pPr>
              <w:pStyle w:val="Compact"/>
              <w:jc w:val="right"/>
            </w:pPr>
            <w:r>
              <w:t xml:space="preserve">8</w:t>
            </w:r>
          </w:p>
        </w:tc>
        <w:tc>
          <w:tcPr/>
          <w:p>
            <w:pPr>
              <w:pStyle w:val="Compact"/>
              <w:jc w:val="right"/>
            </w:pPr>
            <w:r>
              <w:t xml:space="preserve">80</w:t>
            </w:r>
          </w:p>
        </w:tc>
        <w:tc>
          <w:tcPr/>
          <w:p>
            <w:pPr>
              <w:pStyle w:val="Compact"/>
              <w:jc w:val="right"/>
            </w:pPr>
            <w:r>
              <w:t xml:space="preserve">16</w:t>
            </w:r>
          </w:p>
        </w:tc>
      </w:tr>
    </w:tbl>
    <w:bookmarkEnd w:id="10"/>
    <w:bookmarkStart w:id="11" w:name="laboratory-cost-options"/>
    <w:p>
      <w:pPr>
        <w:pStyle w:val="Heading2"/>
      </w:pPr>
      <w:r>
        <w:t xml:space="preserve">Laboratory cost options</w:t>
      </w:r>
    </w:p>
    <w:p>
      <w:pPr>
        <w:pStyle w:val="TableCaption"/>
      </w:pPr>
      <w:r>
        <w:t xml:space="preserve">Analyte packages and planning prices. These are my estimates, not ALS quotes; replace with the ALS quotation before using the totals in the proposal.</w:t>
      </w:r>
    </w:p>
    <w:tbl>
      <w:tblPr>
        <w:tblStyle w:val="Table"/>
        <w:tblW w:type="pct" w:w="5000"/>
        <w:tblLayout w:type="fixed"/>
        <w:tblLook w:firstRow="1" w:lastRow="0" w:firstColumn="0" w:lastColumn="0" w:noHBand="0" w:noVBand="0" w:val="0020"/>
        <w:tblCaption w:val="Analyte packages and planning prices. These are my estimates, not ALS quotes; replace with the ALS quotation before using the totals in the proposal."/>
      </w:tblPr>
      <w:tblGrid>
        <w:gridCol w:w="1896"/>
        <w:gridCol w:w="4573"/>
        <w:gridCol w:w="1450"/>
      </w:tblGrid>
      <w:tr>
        <w:trPr>
          <w:tblHeader w:val="on"/>
        </w:trPr>
        <w:tc>
          <w:tcPr/>
          <w:p>
            <w:pPr>
              <w:pStyle w:val="Compact"/>
              <w:jc w:val="left"/>
            </w:pPr>
            <w:r>
              <w:t xml:space="preserve">Package</w:t>
            </w:r>
          </w:p>
        </w:tc>
        <w:tc>
          <w:tcPr/>
          <w:p>
            <w:pPr>
              <w:pStyle w:val="Compact"/>
              <w:jc w:val="left"/>
            </w:pPr>
            <w:r>
              <w:t xml:space="preserve">What it includes</w:t>
            </w:r>
          </w:p>
        </w:tc>
        <w:tc>
          <w:tcPr/>
          <w:p>
            <w:pPr>
              <w:pStyle w:val="Compact"/>
              <w:jc w:val="right"/>
            </w:pPr>
            <w:r>
              <w:t xml:space="preserve">Planning price per sample</w:t>
            </w:r>
          </w:p>
        </w:tc>
      </w:tr>
      <w:tr>
        <w:tc>
          <w:tcPr/>
          <w:p>
            <w:pPr>
              <w:pStyle w:val="Compact"/>
              <w:jc w:val="left"/>
            </w:pPr>
            <w:r>
              <w:t xml:space="preserve">A: Chloride core</w:t>
            </w:r>
          </w:p>
        </w:tc>
        <w:tc>
          <w:tcPr/>
          <w:p>
            <w:pPr>
              <w:pStyle w:val="Compact"/>
              <w:jc w:val="left"/>
            </w:pPr>
            <w:r>
              <w:t xml:space="preserve">Chloride by IC (EPA 300.0) and alkalinity</w:t>
            </w:r>
          </w:p>
        </w:tc>
        <w:tc>
          <w:tcPr/>
          <w:p>
            <w:pPr>
              <w:pStyle w:val="Compact"/>
              <w:jc w:val="right"/>
            </w:pPr>
            <w:r>
              <w:t xml:space="preserve">$45</w:t>
            </w:r>
          </w:p>
        </w:tc>
      </w:tr>
      <w:tr>
        <w:tc>
          <w:tcPr/>
          <w:p>
            <w:pPr>
              <w:pStyle w:val="Compact"/>
              <w:jc w:val="left"/>
            </w:pPr>
            <w:r>
              <w:t xml:space="preserve">B: Major ions (recommended)</w:t>
            </w:r>
          </w:p>
        </w:tc>
        <w:tc>
          <w:tcPr/>
          <w:p>
            <w:pPr>
              <w:pStyle w:val="Compact"/>
              <w:jc w:val="left"/>
            </w:pPr>
            <w:r>
              <w:t xml:space="preserve">A, plus sulfate, fluoride, bromide (IC); Na, K, Ca, Mg, B, Li, Si (ICP); TDS</w:t>
            </w:r>
          </w:p>
        </w:tc>
        <w:tc>
          <w:tcPr/>
          <w:p>
            <w:pPr>
              <w:pStyle w:val="Compact"/>
              <w:jc w:val="right"/>
            </w:pPr>
            <w:r>
              <w:t xml:space="preserve">$135</w:t>
            </w:r>
          </w:p>
        </w:tc>
      </w:tr>
      <w:tr>
        <w:tc>
          <w:tcPr/>
          <w:p>
            <w:pPr>
              <w:pStyle w:val="Compact"/>
              <w:jc w:val="left"/>
            </w:pPr>
            <w:r>
              <w:t xml:space="preserve">C: Major ions plus trace elements</w:t>
            </w:r>
          </w:p>
        </w:tc>
        <w:tc>
          <w:tcPr/>
          <w:p>
            <w:pPr>
              <w:pStyle w:val="Compact"/>
              <w:jc w:val="left"/>
            </w:pPr>
            <w:r>
              <w:t xml:space="preserve">B, plus an ICP-MS trace-element suite like the one used on the 2026 field samples</w:t>
            </w:r>
          </w:p>
        </w:tc>
        <w:tc>
          <w:tcPr/>
          <w:p>
            <w:pPr>
              <w:pStyle w:val="Compact"/>
              <w:jc w:val="right"/>
            </w:pPr>
            <w:r>
              <w:t xml:space="preserve">$225</w:t>
            </w:r>
          </w:p>
        </w:tc>
      </w:tr>
      <w:tr>
        <w:tc>
          <w:tcPr/>
          <w:p>
            <w:pPr>
              <w:pStyle w:val="Compact"/>
              <w:jc w:val="left"/>
            </w:pPr>
            <w:r>
              <w:t xml:space="preserve">Isotopes</w:t>
            </w:r>
          </w:p>
        </w:tc>
        <w:tc>
          <w:tcPr/>
          <w:p>
            <w:pPr>
              <w:pStyle w:val="Compact"/>
              <w:jc w:val="left"/>
            </w:pPr>
            <w:r>
              <w:t xml:space="preserve">delta-18O and delta-D, outside stable-isotope laboratory</w:t>
            </w:r>
          </w:p>
        </w:tc>
        <w:tc>
          <w:tcPr/>
          <w:p>
            <w:pPr>
              <w:pStyle w:val="Compact"/>
              <w:jc w:val="right"/>
            </w:pPr>
            <w:r>
              <w:t xml:space="preserve">$40</w:t>
            </w:r>
          </w:p>
        </w:tc>
      </w:tr>
    </w:tbl>
    <w:p>
      <w:pPr>
        <w:pStyle w:val="BodyText"/>
      </w:pPr>
      <w:r>
        <w:t xml:space="preserve"> </w:t>
      </w:r>
    </w:p>
    <w:p>
      <w:pPr>
        <w:pStyle w:val="TableCaption"/>
      </w:pPr>
      <w:r>
        <w:t xml:space="preserve">Estimated total laboratory cost for one year (chemistry plus isotopes). Excludes shipping, bottles, and field time.</w:t>
      </w:r>
    </w:p>
    <w:tbl>
      <w:tblPr>
        <w:tblStyle w:val="Table"/>
        <w:tblW w:type="pct" w:w="5000"/>
        <w:tblLayout w:type="fixed"/>
        <w:tblLook w:firstRow="1" w:lastRow="0" w:firstColumn="0" w:lastColumn="0" w:noHBand="0" w:noVBand="0" w:val="0020"/>
        <w:tblCaption w:val="Estimated total laboratory cost for one year (chemistry plus isotopes). Excludes shipping, bottles, and field time."/>
      </w:tblPr>
      <w:tblGrid>
        <w:gridCol w:w="1250"/>
        <w:gridCol w:w="1875"/>
        <w:gridCol w:w="1667"/>
        <w:gridCol w:w="1042"/>
        <w:gridCol w:w="1042"/>
        <w:gridCol w:w="1042"/>
      </w:tblGrid>
      <w:tr>
        <w:trPr>
          <w:tblHeader w:val="on"/>
        </w:trPr>
        <w:tc>
          <w:tcPr/>
          <w:p>
            <w:pPr>
              <w:pStyle w:val="Compact"/>
              <w:jc w:val="left"/>
            </w:pPr>
            <w:r>
              <w:t xml:space="preserve">Tier</w:t>
            </w:r>
          </w:p>
        </w:tc>
        <w:tc>
          <w:tcPr/>
          <w:p>
            <w:pPr>
              <w:pStyle w:val="Compact"/>
              <w:jc w:val="right"/>
            </w:pPr>
            <w:r>
              <w:t xml:space="preserve">Chemistry samples</w:t>
            </w:r>
          </w:p>
        </w:tc>
        <w:tc>
          <w:tcPr/>
          <w:p>
            <w:pPr>
              <w:pStyle w:val="Compact"/>
              <w:jc w:val="right"/>
            </w:pPr>
            <w:r>
              <w:t xml:space="preserve">Isotope samples</w:t>
            </w:r>
          </w:p>
        </w:tc>
        <w:tc>
          <w:tcPr/>
          <w:p>
            <w:pPr>
              <w:pStyle w:val="Compact"/>
              <w:jc w:val="right"/>
            </w:pPr>
            <w:r>
              <w:t xml:space="preserve">Package A</w:t>
            </w:r>
          </w:p>
        </w:tc>
        <w:tc>
          <w:tcPr/>
          <w:p>
            <w:pPr>
              <w:pStyle w:val="Compact"/>
              <w:jc w:val="right"/>
            </w:pPr>
            <w:r>
              <w:t xml:space="preserve">Package B</w:t>
            </w:r>
          </w:p>
        </w:tc>
        <w:tc>
          <w:tcPr/>
          <w:p>
            <w:pPr>
              <w:pStyle w:val="Compact"/>
              <w:jc w:val="right"/>
            </w:pPr>
            <w:r>
              <w:t xml:space="preserve">Package C</w:t>
            </w:r>
          </w:p>
        </w:tc>
      </w:tr>
      <w:tr>
        <w:tc>
          <w:tcPr/>
          <w:p>
            <w:pPr>
              <w:pStyle w:val="Compact"/>
              <w:jc w:val="left"/>
            </w:pPr>
            <w:r>
              <w:t xml:space="preserve">Lean</w:t>
            </w:r>
          </w:p>
        </w:tc>
        <w:tc>
          <w:tcPr/>
          <w:p>
            <w:pPr>
              <w:pStyle w:val="Compact"/>
              <w:jc w:val="right"/>
            </w:pPr>
            <w:r>
              <w:t xml:space="preserve">22</w:t>
            </w:r>
          </w:p>
        </w:tc>
        <w:tc>
          <w:tcPr/>
          <w:p>
            <w:pPr>
              <w:pStyle w:val="Compact"/>
              <w:jc w:val="right"/>
            </w:pPr>
            <w:r>
              <w:t xml:space="preserve">4</w:t>
            </w:r>
          </w:p>
        </w:tc>
        <w:tc>
          <w:tcPr/>
          <w:p>
            <w:pPr>
              <w:pStyle w:val="Compact"/>
              <w:jc w:val="right"/>
            </w:pPr>
            <w:r>
              <w:t xml:space="preserve">$1,150</w:t>
            </w:r>
          </w:p>
        </w:tc>
        <w:tc>
          <w:tcPr/>
          <w:p>
            <w:pPr>
              <w:pStyle w:val="Compact"/>
              <w:jc w:val="right"/>
            </w:pPr>
            <w:r>
              <w:t xml:space="preserve">$3,130</w:t>
            </w:r>
          </w:p>
        </w:tc>
        <w:tc>
          <w:tcPr/>
          <w:p>
            <w:pPr>
              <w:pStyle w:val="Compact"/>
              <w:jc w:val="right"/>
            </w:pPr>
            <w:r>
              <w:t xml:space="preserve">$5,110</w:t>
            </w:r>
          </w:p>
        </w:tc>
      </w:tr>
      <w:tr>
        <w:tc>
          <w:tcPr/>
          <w:p>
            <w:pPr>
              <w:pStyle w:val="Compact"/>
              <w:jc w:val="left"/>
            </w:pPr>
            <w:r>
              <w:t xml:space="preserve">Recommended</w:t>
            </w:r>
          </w:p>
        </w:tc>
        <w:tc>
          <w:tcPr/>
          <w:p>
            <w:pPr>
              <w:pStyle w:val="Compact"/>
              <w:jc w:val="right"/>
            </w:pPr>
            <w:r>
              <w:t xml:space="preserve">44</w:t>
            </w:r>
          </w:p>
        </w:tc>
        <w:tc>
          <w:tcPr/>
          <w:p>
            <w:pPr>
              <w:pStyle w:val="Compact"/>
              <w:jc w:val="right"/>
            </w:pPr>
            <w:r>
              <w:t xml:space="preserve">8</w:t>
            </w:r>
          </w:p>
        </w:tc>
        <w:tc>
          <w:tcPr/>
          <w:p>
            <w:pPr>
              <w:pStyle w:val="Compact"/>
              <w:jc w:val="right"/>
            </w:pPr>
            <w:r>
              <w:t xml:space="preserve">$2,300</w:t>
            </w:r>
          </w:p>
        </w:tc>
        <w:tc>
          <w:tcPr/>
          <w:p>
            <w:pPr>
              <w:pStyle w:val="Compact"/>
              <w:jc w:val="right"/>
            </w:pPr>
            <w:r>
              <w:t xml:space="preserve">$6,260</w:t>
            </w:r>
          </w:p>
        </w:tc>
        <w:tc>
          <w:tcPr/>
          <w:p>
            <w:pPr>
              <w:pStyle w:val="Compact"/>
              <w:jc w:val="right"/>
            </w:pPr>
            <w:r>
              <w:t xml:space="preserve">$10,220</w:t>
            </w:r>
          </w:p>
        </w:tc>
      </w:tr>
      <w:tr>
        <w:tc>
          <w:tcPr/>
          <w:p>
            <w:pPr>
              <w:pStyle w:val="Compact"/>
              <w:jc w:val="left"/>
            </w:pPr>
            <w:r>
              <w:t xml:space="preserve">Full</w:t>
            </w:r>
          </w:p>
        </w:tc>
        <w:tc>
          <w:tcPr/>
          <w:p>
            <w:pPr>
              <w:pStyle w:val="Compact"/>
              <w:jc w:val="right"/>
            </w:pPr>
            <w:r>
              <w:t xml:space="preserve">80</w:t>
            </w:r>
          </w:p>
        </w:tc>
        <w:tc>
          <w:tcPr/>
          <w:p>
            <w:pPr>
              <w:pStyle w:val="Compact"/>
              <w:jc w:val="right"/>
            </w:pPr>
            <w:r>
              <w:t xml:space="preserve">16</w:t>
            </w:r>
          </w:p>
        </w:tc>
        <w:tc>
          <w:tcPr/>
          <w:p>
            <w:pPr>
              <w:pStyle w:val="Compact"/>
              <w:jc w:val="right"/>
            </w:pPr>
            <w:r>
              <w:t xml:space="preserve">$4,240</w:t>
            </w:r>
          </w:p>
        </w:tc>
        <w:tc>
          <w:tcPr/>
          <w:p>
            <w:pPr>
              <w:pStyle w:val="Compact"/>
              <w:jc w:val="right"/>
            </w:pPr>
            <w:r>
              <w:t xml:space="preserve">$11,440</w:t>
            </w:r>
          </w:p>
        </w:tc>
        <w:tc>
          <w:tcPr/>
          <w:p>
            <w:pPr>
              <w:pStyle w:val="Compact"/>
              <w:jc w:val="right"/>
            </w:pPr>
            <w:r>
              <w:t xml:space="preserve">$18,640</w:t>
            </w:r>
          </w:p>
        </w:tc>
      </w:tr>
    </w:tbl>
    <w:p>
      <w:pPr>
        <w:pStyle w:val="BodyText"/>
      </w:pPr>
      <w:r>
        <w:rPr>
          <w:b/>
          <w:bCs/>
        </w:rPr>
        <w:t xml:space="preserve">Recommended option:</w:t>
      </w:r>
      <w:r>
        <w:t xml:space="preserve"> </w:t>
      </w:r>
      <w:r>
        <w:t xml:space="preserve">the Recommended tier with package B, about 44 chemistry samples and 8 isotope samples, roughly $6,260 for the year. It is the smallest design that covers a full seasonal cycle at both stations, includes the ions needed for the mixing-model cross-check, and keeps the daily window short enough to be done in the field by one person. The Lean tier gives a first calibration but no seasonal test; the Full tier adds the fissure and resort wells and a longer daily window, and depends on Ormat access.</w:t>
      </w:r>
    </w:p>
    <w:p>
      <w:pPr>
        <w:pStyle w:val="BodyText"/>
      </w:pPr>
      <w:r>
        <w:rPr>
          <w:b/>
          <w:bCs/>
        </w:rPr>
        <w:t xml:space="preserve">Notes for the cost discussion.</w:t>
      </w:r>
      <w:r>
        <w:t xml:space="preserve"> </w:t>
      </w:r>
      <w:r>
        <w:t xml:space="preserve">(1) ALS lab pricing depends on method set, turnaround time and any UNR or project discount, so the totals above scale directly with the package prices in Table 2. (2) Shipping, sample bottles, filters and sampling supplies are not included. (3) Tier totals can be reduced by running packages A or B on routine samples and C only on the quarterly subset.</w:t>
      </w:r>
    </w:p>
    <w:bookmarkEnd w:id="11"/>
    <w:bookmarkStart w:id="12" w:name="Xc7e4396fc8126939036c328ee208ae9e334805d"/>
    <w:p>
      <w:pPr>
        <w:pStyle w:val="Heading2"/>
      </w:pPr>
      <w:r>
        <w:t xml:space="preserve">Equations used for the conductance proxy, model fitting and sampling-error test</w:t>
      </w:r>
    </w:p>
    <w:p>
      <w:pPr>
        <w:pStyle w:val="FirstParagraph"/>
      </w:pPr>
      <w:r>
        <w:rPr>
          <w:b/>
          <w:bCs/>
        </w:rPr>
        <w:t xml:space="preserve">1. Specific conductance from logger conductivity.</w:t>
      </w:r>
      <w:r>
        <w:t xml:space="preserve"> </w:t>
      </w:r>
      <w:r>
        <w:t xml:space="preserve">The loggers record raw electrical conductivity</w:t>
      </w:r>
      <w:r>
        <w:t xml:space="preserve"> </w:t>
      </w:r>
      <m:oMath>
        <m:r>
          <m:t>E</m:t>
        </m:r>
        <m:r>
          <m:t>C</m:t>
        </m:r>
      </m:oMath>
      <w:r>
        <w:t xml:space="preserve"> </w:t>
      </w:r>
      <w:r>
        <w:t xml:space="preserve">at water temperature</w:t>
      </w:r>
      <w:r>
        <w:t xml:space="preserve"> </w:t>
      </w:r>
      <m:oMath>
        <m:r>
          <m:t>T</m:t>
        </m:r>
      </m:oMath>
      <w:r>
        <w:t xml:space="preserve"> </w:t>
      </w:r>
      <w:r>
        <w:t xml:space="preserve">(degrees C). I remove the temperature effect with the USGS non-linear compensation (coefficient</w:t>
      </w:r>
      <w:r>
        <w:t xml:space="preserve"> </w:t>
      </w:r>
      <m:oMath>
        <m:r>
          <m:t>a</m:t>
        </m:r>
        <m:r>
          <m:rPr>
            <m:sty m:val="p"/>
          </m:rPr>
          <m:t>=</m:t>
        </m:r>
        <m:r>
          <m:t>0.0191</m:t>
        </m:r>
      </m:oMath>
      <w:r>
        <w:t xml:space="preserve"> </w:t>
      </w:r>
      <w:r>
        <w:t xml:space="preserve">per degree C, to be recalibrated against field checks):</w:t>
      </w:r>
    </w:p>
    <w:p>
      <w:pPr>
        <w:pStyle w:val="BodyText"/>
      </w:pPr>
      <m:oMathPara>
        <m:oMathParaPr>
          <m:jc m:val="center"/>
        </m:oMathParaPr>
        <m:oMath>
          <m:r>
            <m:t>S</m:t>
          </m:r>
          <m:sSub>
            <m:e>
              <m:r>
                <m:t>C</m:t>
              </m:r>
            </m:e>
            <m:sub>
              <m:r>
                <m:t>25</m:t>
              </m:r>
            </m:sub>
          </m:sSub>
          <m:r>
            <m:rPr>
              <m:sty m:val="p"/>
            </m:rPr>
            <m:t>=</m:t>
          </m:r>
          <m:f>
            <m:fPr>
              <m:type m:val="bar"/>
            </m:fPr>
            <m:num>
              <m:r>
                <m:t>E</m:t>
              </m:r>
              <m:r>
                <m:t>C</m:t>
              </m:r>
            </m:num>
            <m:den>
              <m:r>
                <m:t>1</m:t>
              </m:r>
              <m:r>
                <m:rPr>
                  <m:sty m:val="p"/>
                </m:rPr>
                <m:t>+</m:t>
              </m:r>
              <m:r>
                <m:t>a</m:t>
              </m:r>
              <m:r>
                <m:t> </m:t>
              </m:r>
              <m:r>
                <m:rPr>
                  <m:sty m:val="p"/>
                </m:rPr>
                <m:t>(</m:t>
              </m:r>
              <m:r>
                <m:t>T</m:t>
              </m:r>
              <m:r>
                <m:rPr>
                  <m:sty m:val="p"/>
                </m:rPr>
                <m:t>−</m:t>
              </m:r>
              <m:r>
                <m:t>25</m:t>
              </m:r>
              <m:r>
                <m:rPr>
                  <m:sty m:val="p"/>
                </m:rPr>
                <m:t>)</m:t>
              </m:r>
            </m:den>
          </m:f>
        </m:oMath>
      </m:oMathPara>
    </w:p>
    <w:p>
      <w:pPr>
        <w:pStyle w:val="FirstParagraph"/>
      </w:pPr>
      <w:r>
        <w:rPr>
          <w:b/>
          <w:bCs/>
        </w:rPr>
        <w:t xml:space="preserve">2. Chloride from specific conductance (the proxy).</w:t>
      </w:r>
      <w:r>
        <w:t xml:space="preserve"> </w:t>
      </w:r>
      <w:r>
        <w:t xml:space="preserve">Chloride is the conservative tracer of thermal water, and in this system conductance tracks chloride because chloride and sodium dominate the thermal fluid. The simplest model is a linear regression, fitted to paired samples:</w:t>
      </w:r>
    </w:p>
    <w:p>
      <w:pPr>
        <w:pStyle w:val="BodyText"/>
      </w:pPr>
      <m:oMathPara>
        <m:oMathParaPr>
          <m:jc m:val="center"/>
        </m:oMathParaPr>
        <m:oMath>
          <m:sSub>
            <m:e>
              <m:r>
                <m:rPr>
                  <m:sty m:val="p"/>
                </m:rPr>
                <m:t>C</m:t>
              </m:r>
              <m:r>
                <m:rPr>
                  <m:sty m:val="p"/>
                </m:rPr>
                <m:t>l</m:t>
              </m:r>
            </m:e>
            <m:sub>
              <m:r>
                <m:t>t</m:t>
              </m:r>
            </m:sub>
          </m:sSub>
          <m:r>
            <m:rPr>
              <m:sty m:val="p"/>
            </m:rPr>
            <m:t>=</m:t>
          </m:r>
          <m:sSub>
            <m:e>
              <m:r>
                <m:t>β</m:t>
              </m:r>
            </m:e>
            <m:sub>
              <m:r>
                <m:t>0</m:t>
              </m:r>
            </m:sub>
          </m:sSub>
          <m:r>
            <m:rPr>
              <m:sty m:val="p"/>
            </m:rPr>
            <m:t>+</m:t>
          </m:r>
          <m:sSub>
            <m:e>
              <m:r>
                <m:t>β</m:t>
              </m:r>
            </m:e>
            <m:sub>
              <m:r>
                <m:t>1</m:t>
              </m:r>
            </m:sub>
          </m:sSub>
          <m:r>
            <m:t> </m:t>
          </m:r>
          <m:r>
            <m:t>S</m:t>
          </m:r>
          <m:sSub>
            <m:e>
              <m:r>
                <m:t>C</m:t>
              </m:r>
            </m:e>
            <m:sub>
              <m:r>
                <m:t>25</m:t>
              </m:r>
              <m:r>
                <m:rPr>
                  <m:sty m:val="p"/>
                </m:rPr>
                <m:t>,</m:t>
              </m:r>
              <m:r>
                <m:t>t</m:t>
              </m:r>
            </m:sub>
          </m:sSub>
          <m:r>
            <m:rPr>
              <m:sty m:val="p"/>
            </m:rPr>
            <m:t>+</m:t>
          </m:r>
          <m:sSub>
            <m:e>
              <m:r>
                <m:t>ε</m:t>
              </m:r>
            </m:e>
            <m:sub>
              <m:r>
                <m:t>t</m:t>
              </m:r>
            </m:sub>
          </m:sSub>
        </m:oMath>
      </m:oMathPara>
    </w:p>
    <w:p>
      <w:pPr>
        <w:pStyle w:val="FirstParagraph"/>
      </w:pPr>
      <w:r>
        <w:t xml:space="preserve">The generalized additive model (GAM) adds smooth terms for conductance and temperature and a seasonal harmonic (</w:t>
      </w:r>
      <m:oMath>
        <m:r>
          <m:t>d</m:t>
        </m:r>
      </m:oMath>
      <w:r>
        <w:t xml:space="preserve"> </w:t>
      </w:r>
      <w:r>
        <w:t xml:space="preserve">is day of year; splines with</w:t>
      </w:r>
      <w:r>
        <w:t xml:space="preserve"> </w:t>
      </w:r>
      <m:oMath>
        <m:r>
          <m:t>k</m:t>
        </m:r>
        <m:r>
          <m:rPr>
            <m:sty m:val="p"/>
          </m:rPr>
          <m:t>=</m:t>
        </m:r>
        <m:r>
          <m:t>4</m:t>
        </m:r>
      </m:oMath>
      <w:r>
        <w:t xml:space="preserve">):</w:t>
      </w:r>
    </w:p>
    <w:p>
      <w:pPr>
        <w:pStyle w:val="BodyText"/>
      </w:pPr>
      <m:oMathPara>
        <m:oMathParaPr>
          <m:jc m:val="center"/>
        </m:oMathParaPr>
        <m:oMath>
          <m:sSub>
            <m:e>
              <m:r>
                <m:rPr>
                  <m:sty m:val="p"/>
                </m:rPr>
                <m:t>C</m:t>
              </m:r>
              <m:r>
                <m:rPr>
                  <m:sty m:val="p"/>
                </m:rPr>
                <m:t>l</m:t>
              </m:r>
            </m:e>
            <m:sub>
              <m:r>
                <m:t>t</m:t>
              </m:r>
            </m:sub>
          </m:sSub>
          <m:r>
            <m:rPr>
              <m:sty m:val="p"/>
            </m:rPr>
            <m:t>=</m:t>
          </m:r>
          <m:sSub>
            <m:e>
              <m:r>
                <m:t>β</m:t>
              </m:r>
            </m:e>
            <m:sub>
              <m:r>
                <m:t>0</m:t>
              </m:r>
            </m:sub>
          </m:sSub>
          <m:r>
            <m:rPr>
              <m:sty m:val="p"/>
            </m:rPr>
            <m:t>+</m:t>
          </m:r>
          <m:sSub>
            <m:e>
              <m:r>
                <m:t>f</m:t>
              </m:r>
            </m:e>
            <m:sub>
              <m:r>
                <m:t>1</m:t>
              </m:r>
            </m:sub>
          </m:sSub>
          <m:r>
            <m:rPr>
              <m:sty m:val="p"/>
            </m:rPr>
            <m:t>(</m:t>
          </m:r>
          <m:r>
            <m:t>S</m:t>
          </m:r>
          <m:sSub>
            <m:e>
              <m:r>
                <m:t>C</m:t>
              </m:r>
            </m:e>
            <m:sub>
              <m:r>
                <m:t>25</m:t>
              </m:r>
              <m:r>
                <m:rPr>
                  <m:sty m:val="p"/>
                </m:rPr>
                <m:t>,</m:t>
              </m:r>
              <m:r>
                <m:t>t</m:t>
              </m:r>
            </m:sub>
          </m:sSub>
          <m:r>
            <m:rPr>
              <m:sty m:val="p"/>
            </m:rPr>
            <m:t>)</m:t>
          </m:r>
          <m:r>
            <m:rPr>
              <m:sty m:val="p"/>
            </m:rPr>
            <m:t>+</m:t>
          </m:r>
          <m:sSub>
            <m:e>
              <m:r>
                <m:t>f</m:t>
              </m:r>
            </m:e>
            <m:sub>
              <m:r>
                <m:t>2</m:t>
              </m:r>
            </m:sub>
          </m:sSub>
          <m:r>
            <m:rPr>
              <m:sty m:val="p"/>
            </m:rPr>
            <m:t>(</m:t>
          </m:r>
          <m:sSub>
            <m:e>
              <m:r>
                <m:t>T</m:t>
              </m:r>
            </m:e>
            <m:sub>
              <m:r>
                <m:t>t</m:t>
              </m:r>
            </m:sub>
          </m:sSub>
          <m:r>
            <m:rPr>
              <m:sty m:val="p"/>
            </m:rPr>
            <m:t>)</m:t>
          </m:r>
          <m:r>
            <m:rPr>
              <m:sty m:val="p"/>
            </m:rPr>
            <m:t>+</m:t>
          </m:r>
          <m:sSub>
            <m:e>
              <m:r>
                <m:t>β</m:t>
              </m:r>
            </m:e>
            <m:sub>
              <m:r>
                <m:t>3</m:t>
              </m:r>
            </m:sub>
          </m:sSub>
          <m:r>
            <m:rPr>
              <m:sty m:val="p"/>
            </m:rPr>
            <m:t>sin</m:t>
          </m:r>
          <m:r>
            <m:t>​</m:t>
          </m:r>
          <m:d>
            <m:dPr>
              <m:begChr m:val="("/>
              <m:sepChr m:val=""/>
              <m:endChr m:val=")"/>
              <m:grow/>
            </m:dPr>
            <m:e>
              <m:f>
                <m:fPr>
                  <m:type m:val="lin"/>
                </m:fPr>
                <m:num>
                  <m:r>
                    <m:t>2</m:t>
                  </m:r>
                  <m:r>
                    <m:t>π</m:t>
                  </m:r>
                  <m:sSub>
                    <m:e>
                      <m:r>
                        <m:t>d</m:t>
                      </m:r>
                    </m:e>
                    <m:sub>
                      <m:r>
                        <m:t>t</m:t>
                      </m:r>
                    </m:sub>
                  </m:sSub>
                </m:num>
                <m:den>
                  <m:r>
                    <m:t>365</m:t>
                  </m:r>
                </m:den>
              </m:f>
            </m:e>
          </m:d>
          <m:r>
            <m:rPr>
              <m:sty m:val="p"/>
            </m:rPr>
            <m:t>+</m:t>
          </m:r>
          <m:sSub>
            <m:e>
              <m:r>
                <m:t>β</m:t>
              </m:r>
            </m:e>
            <m:sub>
              <m:r>
                <m:t>4</m:t>
              </m:r>
            </m:sub>
          </m:sSub>
          <m:r>
            <m:rPr>
              <m:sty m:val="p"/>
            </m:rPr>
            <m:t>cos</m:t>
          </m:r>
          <m:r>
            <m:t>​</m:t>
          </m:r>
          <m:d>
            <m:dPr>
              <m:begChr m:val="("/>
              <m:sepChr m:val=""/>
              <m:endChr m:val=")"/>
              <m:grow/>
            </m:dPr>
            <m:e>
              <m:f>
                <m:fPr>
                  <m:type m:val="lin"/>
                </m:fPr>
                <m:num>
                  <m:r>
                    <m:t>2</m:t>
                  </m:r>
                  <m:r>
                    <m:t>π</m:t>
                  </m:r>
                  <m:sSub>
                    <m:e>
                      <m:r>
                        <m:t>d</m:t>
                      </m:r>
                    </m:e>
                    <m:sub>
                      <m:r>
                        <m:t>t</m:t>
                      </m:r>
                    </m:sub>
                  </m:sSub>
                </m:num>
                <m:den>
                  <m:r>
                    <m:t>365</m:t>
                  </m:r>
                </m:den>
              </m:f>
            </m:e>
          </m:d>
          <m:r>
            <m:rPr>
              <m:sty m:val="p"/>
            </m:rPr>
            <m:t>+</m:t>
          </m:r>
          <m:sSub>
            <m:e>
              <m:r>
                <m:t>ε</m:t>
              </m:r>
            </m:e>
            <m:sub>
              <m:r>
                <m:t>t</m:t>
              </m:r>
            </m:sub>
          </m:sSub>
        </m:oMath>
      </m:oMathPara>
    </w:p>
    <w:p>
      <w:pPr>
        <w:pStyle w:val="FirstParagraph"/>
      </w:pPr>
      <w:r>
        <w:t xml:space="preserve">A random forest on the same predictors is the skill benchmark. Models are scored with rolling-origin (blocked, time-aware) cross-validation: each fold trains on all samples up to time</w:t>
      </w:r>
      <w:r>
        <w:t xml:space="preserve"> </w:t>
      </w:r>
      <m:oMath>
        <m:sSub>
          <m:e>
            <m:r>
              <m:t>t</m:t>
            </m:r>
          </m:e>
          <m:sub>
            <m:r>
              <m:t>k</m:t>
            </m:r>
          </m:sub>
        </m:sSub>
      </m:oMath>
      <w:r>
        <w:t xml:space="preserve"> </w:t>
      </w:r>
      <w:r>
        <w:t xml:space="preserve">and predicts the next block, so autocorrelation cannot inflate skill:</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C</m:t>
                              </m:r>
                              <m:r>
                                <m:rPr>
                                  <m:sty m:val="p"/>
                                </m:rPr>
                                <m:t>l</m:t>
                              </m:r>
                            </m:e>
                            <m:sub>
                              <m:r>
                                <m:t>i</m:t>
                              </m:r>
                            </m:sub>
                          </m:sSub>
                          <m:r>
                            <m:rPr>
                              <m:sty m:val="p"/>
                            </m:rPr>
                            <m:t>−</m:t>
                          </m:r>
                          <m:sSub>
                            <m:e>
                              <m:acc>
                                <m:accPr>
                                  <m:chr m:val="̂"/>
                                </m:accPr>
                                <m:e>
                                  <m:r>
                                    <m:rPr>
                                      <m:sty m:val="p"/>
                                    </m:rPr>
                                    <m:t>C</m:t>
                                  </m:r>
                                  <m:r>
                                    <m:rPr>
                                      <m:sty m:val="p"/>
                                    </m:rPr>
                                    <m:t>l</m:t>
                                  </m:r>
                                </m:e>
                              </m:acc>
                            </m:e>
                            <m:sub>
                              <m:r>
                                <m:t>i</m:t>
                              </m:r>
                            </m:sub>
                          </m:sSub>
                        </m:e>
                      </m:d>
                    </m:e>
                    <m:sup>
                      <m:r>
                        <m:t>2</m:t>
                      </m:r>
                    </m:sup>
                  </m:sSup>
                </m:e>
              </m:nary>
            </m:e>
          </m:rad>
        </m:oMath>
      </m:oMathPara>
    </w:p>
    <w:p>
      <w:pPr>
        <w:pStyle w:val="FirstParagraph"/>
      </w:pPr>
      <w:r>
        <w:rPr>
          <w:b/>
          <w:bCs/>
        </w:rPr>
        <w:t xml:space="preserve">3. Monte Carlo sampling-interval test.</w:t>
      </w:r>
      <w:r>
        <w:t xml:space="preserve"> </w:t>
      </w:r>
      <w:r>
        <w:t xml:space="preserve">For a candidate sampling interval of</w:t>
      </w:r>
      <w:r>
        <w:t xml:space="preserve"> </w:t>
      </w:r>
      <m:oMath>
        <m:r>
          <m:t>f</m:t>
        </m:r>
      </m:oMath>
      <w:r>
        <w:t xml:space="preserve"> </w:t>
      </w:r>
      <w:r>
        <w:t xml:space="preserve">days and a logger step of</w:t>
      </w:r>
      <w:r>
        <w:t xml:space="preserve"> </w:t>
      </w:r>
      <m:oMath>
        <m:r>
          <m:rPr>
            <m:sty m:val="p"/>
          </m:rPr>
          <m:t>Δ</m:t>
        </m:r>
        <m:r>
          <m:t>t</m:t>
        </m:r>
      </m:oMath>
      <w:r>
        <w:t xml:space="preserve"> </w:t>
      </w:r>
      <w:r>
        <w:t xml:space="preserve">minutes, the number of logger steps between samples is</w:t>
      </w:r>
      <w:r>
        <w:t xml:space="preserve"> </w:t>
      </w:r>
      <m:oMath>
        <m:sSub>
          <m:e>
            <m:r>
              <m:t>n</m:t>
            </m:r>
          </m:e>
          <m:sub>
            <m:r>
              <m:t>f</m:t>
            </m:r>
          </m:sub>
        </m:sSub>
        <m:r>
          <m:rPr>
            <m:sty m:val="p"/>
          </m:rPr>
          <m:t>=</m:t>
        </m:r>
        <m:r>
          <m:t>f</m:t>
        </m:r>
        <m:r>
          <m:rPr>
            <m:sty m:val="p"/>
          </m:rPr>
          <m:t>⋅</m:t>
        </m:r>
        <m:r>
          <m:t>1440</m:t>
        </m:r>
        <m:r>
          <m:rPr>
            <m:sty m:val="p"/>
          </m:rPr>
          <m:t>/</m:t>
        </m:r>
        <m:r>
          <m:rPr>
            <m:sty m:val="p"/>
          </m:rPr>
          <m:t>Δ</m:t>
        </m:r>
        <m:r>
          <m:t>t</m:t>
        </m:r>
      </m:oMath>
      <w:r>
        <w:t xml:space="preserve">. For draw</w:t>
      </w:r>
      <w:r>
        <w:t xml:space="preserve"> </w:t>
      </w:r>
      <m:oMath>
        <m:r>
          <m:t>j</m:t>
        </m:r>
        <m:r>
          <m:rPr>
            <m:sty m:val="p"/>
          </m:rPr>
          <m:t>=</m:t>
        </m:r>
        <m:r>
          <m:t>1</m:t>
        </m:r>
        <m:r>
          <m:rPr>
            <m:sty m:val="p"/>
          </m:rPr>
          <m:t>,</m:t>
        </m:r>
        <m:r>
          <m:rPr>
            <m:sty m:val="p"/>
          </m:rPr>
          <m:t>…</m:t>
        </m:r>
        <m:r>
          <m:rPr>
            <m:sty m:val="p"/>
          </m:rPr>
          <m:t>,</m:t>
        </m:r>
        <m:r>
          <m:t>200</m:t>
        </m:r>
      </m:oMath>
      <w:r>
        <w:t xml:space="preserve"> </w:t>
      </w:r>
      <w:r>
        <w:t xml:space="preserve">a random start offset</w:t>
      </w:r>
      <w:r>
        <w:t xml:space="preserve"> </w:t>
      </w:r>
      <m:oMath>
        <m:sSub>
          <m:e>
            <m:r>
              <m:t>o</m:t>
            </m:r>
          </m:e>
          <m:sub>
            <m:r>
              <m:t>j</m:t>
            </m:r>
          </m:sub>
        </m:sSub>
        <m:r>
          <m:rPr>
            <m:sty m:val="p"/>
          </m:rPr>
          <m:t>∼</m:t>
        </m:r>
        <m:r>
          <m:rPr>
            <m:sty m:val="p"/>
          </m:rPr>
          <m:t>U</m:t>
        </m:r>
        <m:r>
          <m:rPr>
            <m:sty m:val="p"/>
          </m:rPr>
          <m:t>{</m:t>
        </m:r>
        <m:r>
          <m:t>1</m:t>
        </m:r>
        <m:r>
          <m:rPr>
            <m:sty m:val="p"/>
          </m:rPr>
          <m:t>,</m:t>
        </m:r>
        <m:r>
          <m:rPr>
            <m:sty m:val="p"/>
          </m:rPr>
          <m:t>…</m:t>
        </m:r>
        <m:r>
          <m:rPr>
            <m:sty m:val="p"/>
          </m:rPr>
          <m:t>,</m:t>
        </m:r>
        <m:sSub>
          <m:e>
            <m:r>
              <m:t>n</m:t>
            </m:r>
          </m:e>
          <m:sub>
            <m:r>
              <m:t>f</m:t>
            </m:r>
          </m:sub>
        </m:sSub>
        <m:r>
          <m:rPr>
            <m:sty m:val="p"/>
          </m:rPr>
          <m:t>}</m:t>
        </m:r>
      </m:oMath>
      <w:r>
        <w:t xml:space="preserve"> </w:t>
      </w:r>
      <w:r>
        <w:t xml:space="preserve">selects samples at steps</w:t>
      </w:r>
      <w:r>
        <w:t xml:space="preserve"> </w:t>
      </w:r>
      <m:oMath>
        <m:sSub>
          <m:e>
            <m:r>
              <m:t>o</m:t>
            </m:r>
          </m:e>
          <m:sub>
            <m:r>
              <m:t>j</m:t>
            </m:r>
          </m:sub>
        </m:sSub>
        <m:r>
          <m:rPr>
            <m:sty m:val="p"/>
          </m:rPr>
          <m:t>,</m:t>
        </m:r>
        <m:sSub>
          <m:e>
            <m:r>
              <m:t>o</m:t>
            </m:r>
          </m:e>
          <m:sub>
            <m:r>
              <m:t>j</m:t>
            </m:r>
          </m:sub>
        </m:sSub>
        <m:r>
          <m:rPr>
            <m:sty m:val="p"/>
          </m:rPr>
          <m:t>+</m:t>
        </m:r>
        <m:sSub>
          <m:e>
            <m:r>
              <m:t>n</m:t>
            </m:r>
          </m:e>
          <m:sub>
            <m:r>
              <m:t>f</m:t>
            </m:r>
          </m:sub>
        </m:sSub>
        <m:r>
          <m:rPr>
            <m:sty m:val="p"/>
          </m:rPr>
          <m:t>,</m:t>
        </m:r>
        <m:sSub>
          <m:e>
            <m:r>
              <m:t>o</m:t>
            </m:r>
          </m:e>
          <m:sub>
            <m:r>
              <m:t>j</m:t>
            </m:r>
          </m:sub>
        </m:sSub>
        <m:r>
          <m:rPr>
            <m:sty m:val="p"/>
          </m:rPr>
          <m:t>+</m:t>
        </m:r>
        <m:r>
          <m:t>2</m:t>
        </m:r>
        <m:sSub>
          <m:e>
            <m:r>
              <m:t>n</m:t>
            </m:r>
          </m:e>
          <m:sub>
            <m:r>
              <m:t>f</m:t>
            </m:r>
          </m:sub>
        </m:sSub>
        <m:r>
          <m:rPr>
            <m:sty m:val="p"/>
          </m:rPr>
          <m:t>,</m:t>
        </m:r>
        <m:r>
          <m:rPr>
            <m:sty m:val="p"/>
          </m:rPr>
          <m:t>…</m:t>
        </m:r>
      </m:oMath>
      <w:r>
        <w:t xml:space="preserve">. The full series is rebuilt by linear interpolation between those samples, and the error against the dense record</w:t>
      </w:r>
      <w:r>
        <w:t xml:space="preserve"> </w:t>
      </w:r>
      <m:oMath>
        <m:sSub>
          <m:e>
            <m:r>
              <m:t>y</m:t>
            </m:r>
          </m:e>
          <m:sub>
            <m:r>
              <m:t>t</m:t>
            </m:r>
          </m:sub>
        </m:sSub>
      </m:oMath>
      <w:r>
        <w:t xml:space="preserve"> </w:t>
      </w:r>
      <w:r>
        <w:t xml:space="preserve">is</w:t>
      </w:r>
    </w:p>
    <w:p>
      <w:pPr>
        <w:pStyle w:val="BodyText"/>
      </w:pPr>
      <m:oMathPara>
        <m:oMathParaPr>
          <m:jc m:val="center"/>
        </m:oMathParaPr>
        <m:oMath>
          <m:sSub>
            <m:e>
              <m:r>
                <m:rPr>
                  <m:sty m:val="p"/>
                </m:rPr>
                <m:t>R</m:t>
              </m:r>
              <m:r>
                <m:rPr>
                  <m:sty m:val="p"/>
                </m:rPr>
                <m:t>M</m:t>
              </m:r>
              <m:r>
                <m:rPr>
                  <m:sty m:val="p"/>
                </m:rPr>
                <m:t>S</m:t>
              </m:r>
              <m:r>
                <m:rPr>
                  <m:sty m:val="p"/>
                </m:rPr>
                <m:t>E</m:t>
              </m:r>
            </m:e>
            <m:sub>
              <m:r>
                <m:t>f</m:t>
              </m:r>
              <m:r>
                <m:rPr>
                  <m:sty m:val="p"/>
                </m:rPr>
                <m:t>,</m:t>
              </m:r>
              <m:r>
                <m:t>j</m:t>
              </m:r>
            </m:sub>
          </m:sSub>
          <m:r>
            <m:rPr>
              <m:sty m:val="p"/>
            </m:rPr>
            <m:t>=</m:t>
          </m:r>
          <m:rad>
            <m:radPr>
              <m:degHide m:val="on"/>
            </m:radPr>
            <m:deg/>
            <m:e>
              <m:f>
                <m:fPr>
                  <m:type m:val="bar"/>
                </m:fPr>
                <m:num>
                  <m:r>
                    <m:t>1</m:t>
                  </m:r>
                </m:num>
                <m:den>
                  <m:r>
                    <m:t>N</m:t>
                  </m:r>
                </m:den>
              </m:f>
              <m:nary>
                <m:naryPr>
                  <m:chr m:val="∑"/>
                  <m:limLoc m:val="undOvr"/>
                  <m:subHide m:val="off"/>
                  <m:supHide m:val="off"/>
                </m:naryPr>
                <m:sub>
                  <m:r>
                    <m:t>t</m:t>
                  </m:r>
                  <m:r>
                    <m:rPr>
                      <m:sty m:val="p"/>
                    </m:rPr>
                    <m:t>=</m:t>
                  </m:r>
                  <m:r>
                    <m:t>1</m:t>
                  </m:r>
                </m:sub>
                <m:sup>
                  <m:r>
                    <m:t>N</m:t>
                  </m:r>
                </m:sup>
                <m:e>
                  <m:sSup>
                    <m:e>
                      <m:d>
                        <m:dPr>
                          <m:begChr m:val="("/>
                          <m:sepChr m:val=""/>
                          <m:endChr m:val=")"/>
                          <m:grow/>
                        </m:dPr>
                        <m:e>
                          <m:sSub>
                            <m:e>
                              <m:r>
                                <m:t>y</m:t>
                              </m:r>
                            </m:e>
                            <m:sub>
                              <m:r>
                                <m:t>t</m:t>
                              </m:r>
                            </m:sub>
                          </m:sSub>
                          <m:r>
                            <m:rPr>
                              <m:sty m:val="p"/>
                            </m:rPr>
                            <m:t>−</m:t>
                          </m:r>
                          <m:sSubSup>
                            <m:e>
                              <m:acc>
                                <m:accPr>
                                  <m:chr m:val="̂"/>
                                </m:accPr>
                                <m:e>
                                  <m:r>
                                    <m:t>y</m:t>
                                  </m:r>
                                </m:e>
                              </m:acc>
                            </m:e>
                            <m:sub>
                              <m:r>
                                <m:t>t</m:t>
                              </m:r>
                            </m:sub>
                            <m:sup>
                              <m:r>
                                <m:rPr>
                                  <m:sty m:val="p"/>
                                </m:rPr>
                                <m:t>(</m:t>
                              </m:r>
                              <m:r>
                                <m:t>f</m:t>
                              </m:r>
                              <m:r>
                                <m:rPr>
                                  <m:sty m:val="p"/>
                                </m:rPr>
                                <m:t>,</m:t>
                              </m:r>
                              <m:r>
                                <m:t>j</m:t>
                              </m:r>
                              <m:r>
                                <m:rPr>
                                  <m:sty m:val="p"/>
                                </m:rPr>
                                <m:t>)</m:t>
                              </m:r>
                            </m:sup>
                          </m:sSubSup>
                        </m:e>
                      </m:d>
                    </m:e>
                    <m:sup>
                      <m:r>
                        <m:t>2</m:t>
                      </m:r>
                    </m:sup>
                  </m:sSup>
                </m:e>
              </m:nary>
            </m:e>
          </m:rad>
          <m:r>
            <m:rPr>
              <m:sty m:val="p"/>
            </m:rPr>
            <m:t>,</m:t>
          </m:r>
          <m:r>
            <m:t>  </m:t>
          </m:r>
          <m:r>
            <m:rPr>
              <m:nor/>
              <m:sty m:val="p"/>
            </m:rPr>
            <m:t>reported as </m:t>
          </m:r>
          <m:r>
            <m:t>100</m:t>
          </m:r>
          <m:r>
            <m:t> </m:t>
          </m:r>
          <m:f>
            <m:fPr>
              <m:type m:val="bar"/>
            </m:fPr>
            <m:num>
              <m:bar>
                <m:barPr>
                  <m:pos m:val="top"/>
                </m:barPr>
                <m:e>
                  <m:sSub>
                    <m:e>
                      <m:r>
                        <m:rPr>
                          <m:sty m:val="p"/>
                        </m:rPr>
                        <m:t>R</m:t>
                      </m:r>
                      <m:r>
                        <m:rPr>
                          <m:sty m:val="p"/>
                        </m:rPr>
                        <m:t>M</m:t>
                      </m:r>
                      <m:r>
                        <m:rPr>
                          <m:sty m:val="p"/>
                        </m:rPr>
                        <m:t>S</m:t>
                      </m:r>
                      <m:r>
                        <m:rPr>
                          <m:sty m:val="p"/>
                        </m:rPr>
                        <m:t>E</m:t>
                      </m:r>
                    </m:e>
                    <m:sub>
                      <m:r>
                        <m:t>f</m:t>
                      </m:r>
                    </m:sub>
                  </m:sSub>
                </m:e>
              </m:bar>
            </m:num>
            <m:den>
              <m:acc>
                <m:accPr>
                  <m:chr m:val="‾"/>
                </m:accPr>
                <m:e>
                  <m:r>
                    <m:t>y</m:t>
                  </m:r>
                </m:e>
              </m:acc>
            </m:den>
          </m:f>
          <m:r>
            <m:t> </m:t>
          </m:r>
          <m:r>
            <m:rPr>
              <m:nor/>
              <m:sty m:val="p"/>
            </m:rPr>
            <m:t>percent of the mean.</m:t>
          </m:r>
        </m:oMath>
      </m:oMathPara>
    </w:p>
    <w:p>
      <w:pPr>
        <w:pStyle w:val="FirstParagraph"/>
      </w:pPr>
      <w:r>
        <w:rPr>
          <w:b/>
          <w:bCs/>
        </w:rPr>
        <w:t xml:space="preserve">4. Chloride flux and thermal discharge.</w:t>
      </w:r>
      <w:r>
        <w:t xml:space="preserve"> </w:t>
      </w:r>
      <w:r>
        <w:t xml:space="preserve">With discharge</w:t>
      </w:r>
      <w:r>
        <w:t xml:space="preserve"> </w:t>
      </w:r>
      <m:oMath>
        <m:r>
          <m:t>Q</m:t>
        </m:r>
      </m:oMath>
      <w:r>
        <w:t xml:space="preserve"> </w:t>
      </w:r>
      <w:r>
        <w:t xml:space="preserve">and concentration</w:t>
      </w:r>
      <w:r>
        <w:t xml:space="preserve"> </w:t>
      </w:r>
      <m:oMath>
        <m:r>
          <m:t>C</m:t>
        </m:r>
      </m:oMath>
      <w:r>
        <w:t xml:space="preserve">, chloride mass flux is the integral of</w:t>
      </w:r>
      <w:r>
        <w:t xml:space="preserve"> </w:t>
      </w:r>
      <m:oMath>
        <m:r>
          <m:t>C</m:t>
        </m:r>
        <m:r>
          <m:t> </m:t>
        </m:r>
        <m:r>
          <m:t>Q</m:t>
        </m:r>
      </m:oMath>
      <w:r>
        <w:t xml:space="preserve">, computed by the trapezoid rule; the thermal-water inflow between SBRR (upstream) and SBBV (downstream) uses an end-member chloride</w:t>
      </w:r>
      <w:r>
        <w:t xml:space="preserve"> </w:t>
      </w:r>
      <m:oMath>
        <m:sSub>
          <m:e>
            <m:r>
              <m:t>C</m:t>
            </m:r>
          </m:e>
          <m:sub>
            <m:r>
              <m:t>T</m:t>
            </m:r>
            <m:r>
              <m:t>W</m:t>
            </m:r>
          </m:sub>
        </m:sSub>
        <m:r>
          <m:rPr>
            <m:sty m:val="p"/>
          </m:rPr>
          <m:t>=</m:t>
        </m:r>
        <m:r>
          <m:t>820</m:t>
        </m:r>
      </m:oMath>
      <w:r>
        <w:t xml:space="preserve"> </w:t>
      </w:r>
      <w:r>
        <w:t xml:space="preserve">mg/L (Sorey and Colvard 1992):</w:t>
      </w:r>
    </w:p>
    <w:p>
      <w:pPr>
        <w:pStyle w:val="BodyText"/>
      </w:pPr>
      <m:oMathPara>
        <m:oMathParaPr>
          <m:jc m:val="center"/>
        </m:oMathParaPr>
        <m:oMath>
          <m:r>
            <m:t>M</m:t>
          </m:r>
          <m:r>
            <m:rPr>
              <m:sty m:val="p"/>
            </m:rPr>
            <m:t>=</m:t>
          </m:r>
          <m:r>
            <m:rPr>
              <m:sty m:val="p"/>
            </m:rPr>
            <m:t>∫</m:t>
          </m:r>
          <m:r>
            <m:t>C</m:t>
          </m:r>
          <m:r>
            <m:rPr>
              <m:sty m:val="p"/>
            </m:rPr>
            <m:t>(</m:t>
          </m:r>
          <m:r>
            <m:t>t</m:t>
          </m:r>
          <m:r>
            <m:rPr>
              <m:sty m:val="p"/>
            </m:rPr>
            <m:t>)</m:t>
          </m:r>
          <m:r>
            <m:t> </m:t>
          </m:r>
          <m:r>
            <m:t>Q</m:t>
          </m:r>
          <m:r>
            <m:rPr>
              <m:sty m:val="p"/>
            </m:rPr>
            <m:t>(</m:t>
          </m:r>
          <m:r>
            <m:t>t</m:t>
          </m:r>
          <m:r>
            <m:rPr>
              <m:sty m:val="p"/>
            </m:rPr>
            <m:t>)</m:t>
          </m:r>
          <m:r>
            <m:t> </m:t>
          </m:r>
          <m:r>
            <m:t>d</m:t>
          </m:r>
          <m:r>
            <m:t>t</m:t>
          </m:r>
          <m:r>
            <m:rPr>
              <m:sty m:val="p"/>
            </m:rPr>
            <m:t>,</m:t>
          </m:r>
          <m:r>
            <m:t>  </m:t>
          </m:r>
          <m:sSub>
            <m:e>
              <m:r>
                <m:t>Q</m:t>
              </m:r>
            </m:e>
            <m:sub>
              <m:r>
                <m:t>T</m:t>
              </m:r>
              <m:r>
                <m:t>W</m:t>
              </m:r>
            </m:sub>
          </m:sSub>
          <m:r>
            <m:rPr>
              <m:sty m:val="p"/>
            </m:rPr>
            <m:t>=</m:t>
          </m:r>
          <m:f>
            <m:fPr>
              <m:type m:val="bar"/>
            </m:fPr>
            <m:num>
              <m:sSub>
                <m:e>
                  <m:r>
                    <m:t>Q</m:t>
                  </m:r>
                </m:e>
                <m:sub>
                  <m:r>
                    <m:t>B</m:t>
                  </m:r>
                  <m:r>
                    <m:t>V</m:t>
                  </m:r>
                </m:sub>
              </m:sSub>
              <m:r>
                <m:t> </m:t>
              </m:r>
              <m:sSub>
                <m:e>
                  <m:r>
                    <m:t>C</m:t>
                  </m:r>
                </m:e>
                <m:sub>
                  <m:r>
                    <m:t>B</m:t>
                  </m:r>
                  <m:r>
                    <m:t>V</m:t>
                  </m:r>
                </m:sub>
              </m:sSub>
              <m:r>
                <m:rPr>
                  <m:sty m:val="p"/>
                </m:rPr>
                <m:t>−</m:t>
              </m:r>
              <m:sSub>
                <m:e>
                  <m:r>
                    <m:t>Q</m:t>
                  </m:r>
                </m:e>
                <m:sub>
                  <m:r>
                    <m:t>R</m:t>
                  </m:r>
                  <m:r>
                    <m:t>R</m:t>
                  </m:r>
                </m:sub>
              </m:sSub>
              <m:r>
                <m:t> </m:t>
              </m:r>
              <m:sSub>
                <m:e>
                  <m:r>
                    <m:t>C</m:t>
                  </m:r>
                </m:e>
                <m:sub>
                  <m:r>
                    <m:t>R</m:t>
                  </m:r>
                  <m:r>
                    <m:t>R</m:t>
                  </m:r>
                </m:sub>
              </m:sSub>
            </m:num>
            <m:den>
              <m:sSub>
                <m:e>
                  <m:r>
                    <m:t>C</m:t>
                  </m:r>
                </m:e>
                <m:sub>
                  <m:r>
                    <m:t>T</m:t>
                  </m:r>
                  <m:r>
                    <m:t>W</m:t>
                  </m:r>
                </m:sub>
              </m:sSub>
            </m:den>
          </m:f>
        </m:oMath>
      </m:oMathPara>
    </w:p>
    <w:bookmarkEnd w:id="12"/>
    <w:bookmarkStart w:id="23" w:name="X9ead5809ab53723775592239fd4a6031d9ba468"/>
    <w:p>
      <w:pPr>
        <w:pStyle w:val="Heading2"/>
      </w:pPr>
      <w:r>
        <w:t xml:space="preserve">Conductivity record and the data each analysis uses</w:t>
      </w:r>
    </w:p>
    <w:tbl>
      <w:tblPr>
        <w:tblStyle w:val="Table"/>
        <w:tblW w:type="pct" w:w="5000"/>
        <w:tblLayout w:type="fixed"/>
        <w:tblLook w:firstRow="0" w:lastRow="0" w:firstColumn="0" w:lastColumn="0" w:noHBand="0" w:noVBand="0" w:val="0000"/>
      </w:tblPr>
      <w:tblGrid>
        <w:gridCol w:w="7920"/>
      </w:tblGrid>
      <w:tr>
        <w:tc>
          <w:tcPr/>
          <w:bookmarkStart w:id="17" w:name="fig-record"/>
          <w:p>
            <w:pPr>
              <w:pStyle w:val="Compact"/>
              <w:jc w:val="center"/>
            </w:pPr>
            <w:bookmarkStart w:id="16" w:name="fig-record"/>
            <w:r>
              <w:drawing>
                <wp:inline>
                  <wp:extent cx="5334000" cy="3259666"/>
                  <wp:effectExtent b="0" l="0" r="0" t="0"/>
                  <wp:docPr descr="" title="" id="14" name="Picture"/>
                  <a:graphic>
                    <a:graphicData uri="http://schemas.openxmlformats.org/drawingml/2006/picture">
                      <pic:pic>
                        <pic:nvPicPr>
                          <pic:cNvPr descr="sampling_plan_costs_files/figure-docx/fig-record-1.png" id="15" name="Picture"/>
                          <pic:cNvPicPr>
                            <a:picLocks noChangeArrowheads="1" noChangeAspect="1"/>
                          </pic:cNvPicPr>
                        </pic:nvPicPr>
                        <pic:blipFill>
                          <a:blip r:embed="rId13"/>
                          <a:stretch>
                            <a:fillRect/>
                          </a:stretch>
                        </pic:blipFill>
                        <pic:spPr bwMode="auto">
                          <a:xfrm>
                            <a:off x="0" y="0"/>
                            <a:ext cx="5334000" cy="3259666"/>
                          </a:xfrm>
                          <a:prstGeom prst="rect">
                            <a:avLst/>
                          </a:prstGeom>
                          <a:noFill/>
                          <a:ln w="9525">
                            <a:noFill/>
                            <a:headEnd/>
                            <a:tailEnd/>
                          </a:ln>
                        </pic:spPr>
                      </pic:pic>
                    </a:graphicData>
                  </a:graphic>
                </wp:inline>
              </w:drawing>
            </w:r>
            <w:bookmarkEnd w:id="16"/>
          </w:p>
          <w:p>
            <w:pPr>
              <w:jc w:val="center"/>
            </w:pPr>
            <w:pPr>
              <w:jc w:val="left"/>
              <w:spacing w:before="200"/>
              <w:pStyle w:val="ImageCaption"/>
            </w:pPr>
            <w:r>
              <w:t xml:space="preserve">Figure 1</w:t>
            </w:r>
          </w:p>
          <w:bookmarkEnd w:id="17"/>
        </w:tc>
      </w:tr>
    </w:tbl>
    <w:tbl>
      <w:tblPr>
        <w:tblStyle w:val="Table"/>
        <w:tblW w:type="pct" w:w="5000"/>
        <w:tblLayout w:type="fixed"/>
        <w:tblLook w:firstRow="0" w:lastRow="0" w:firstColumn="0" w:lastColumn="0" w:noHBand="0" w:noVBand="0" w:val="0000"/>
      </w:tblPr>
      <w:tblGrid>
        <w:gridCol w:w="7920"/>
      </w:tblGrid>
      <w:tr>
        <w:tc>
          <w:tcPr/>
          <w:bookmarkStart w:id="22" w:name="fig-pairs"/>
          <w:p>
            <w:pPr>
              <w:pStyle w:val="Compact"/>
              <w:jc w:val="center"/>
            </w:pPr>
            <w:bookmarkStart w:id="21" w:name="fig-pairs"/>
            <w:r>
              <w:drawing>
                <wp:inline>
                  <wp:extent cx="5334000" cy="3048000"/>
                  <wp:effectExtent b="0" l="0" r="0" t="0"/>
                  <wp:docPr descr="" title="" id="19" name="Picture"/>
                  <a:graphic>
                    <a:graphicData uri="http://schemas.openxmlformats.org/drawingml/2006/picture">
                      <pic:pic>
                        <pic:nvPicPr>
                          <pic:cNvPr descr="sampling_plan_costs_files/figure-docx/fig-pairs-1.png" id="20" name="Picture"/>
                          <pic:cNvPicPr>
                            <a:picLocks noChangeArrowheads="1" noChangeAspect="1"/>
                          </pic:cNvPicPr>
                        </pic:nvPicPr>
                        <pic:blipFill>
                          <a:blip r:embed="rId18"/>
                          <a:stretch>
                            <a:fillRect/>
                          </a:stretch>
                        </pic:blipFill>
                        <pic:spPr bwMode="auto">
                          <a:xfrm>
                            <a:off x="0" y="0"/>
                            <a:ext cx="5334000" cy="3048000"/>
                          </a:xfrm>
                          <a:prstGeom prst="rect">
                            <a:avLst/>
                          </a:prstGeom>
                          <a:noFill/>
                          <a:ln w="9525">
                            <a:noFill/>
                            <a:headEnd/>
                            <a:tailEnd/>
                          </a:ln>
                        </pic:spPr>
                      </pic:pic>
                    </a:graphicData>
                  </a:graphic>
                </wp:inline>
              </w:drawing>
            </w:r>
            <w:bookmarkEnd w:id="21"/>
          </w:p>
          <w:p>
            <w:pPr>
              <w:jc w:val="center"/>
            </w:pPr>
            <w:pPr>
              <w:jc w:val="left"/>
              <w:spacing w:before="200"/>
              <w:pStyle w:val="ImageCaption"/>
            </w:pPr>
            <w:r>
              <w:t xml:space="preserve">Figure 2</w:t>
            </w:r>
          </w:p>
          <w:bookmarkEnd w:id="22"/>
        </w:tc>
      </w:tr>
    </w:tbl>
    <w:bookmarkEnd w:id="23"/>
    <w:bookmarkStart w:id="27" w:name="X56231994a06b790aec90aa74882ec85db65ab16"/>
    <w:p>
      <w:pPr>
        <w:pStyle w:val="Heading2"/>
      </w:pPr>
      <w:r>
        <w:t xml:space="preserve">Why the proposed sampling interval matters: error grows with days between samples</w:t>
      </w:r>
    </w:p>
    <w:p>
      <w:pPr>
        <w:pStyle w:val="CaptionedFigure"/>
      </w:pPr>
      <w:r>
        <w:drawing>
          <wp:inline>
            <wp:extent cx="5334000" cy="3333750"/>
            <wp:effectExtent b="0" l="0" r="0" t="0"/>
            <wp:docPr descr="Reconstruction error of the conductance record against the candidate interval between samples, SBRR and SBGG (200 random start days per interval; QC-flagged readings, open-air days before retrieval, and SBGG after 2026-09-29 excluded). Mean error rises from about 3-4% of mean conductance with daily samples to about 8-10% at 14 days." title="" id="25" name="Picture"/>
            <a:graphic>
              <a:graphicData uri="http://schemas.openxmlformats.org/drawingml/2006/picture">
                <pic:pic>
                  <pic:nvPicPr>
                    <pic:cNvPr descr="C:/Projects/Steamboat/Steamboat_Geochemistry_Database/output/figures/manuscript/sampling_frequency_error_curve.png" id="26" name="Picture"/>
                    <pic:cNvPicPr>
                      <a:picLocks noChangeArrowheads="1" noChangeAspect="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Reconstruction error of the conductance record against the candidate interval between samples, SBRR and SBGG (200 random start days per interval; QC-flagged readings, open-air days before retrieval, and SBGG after 2026-09-29 excluded). Mean error rises from about 3-4% of mean conductance with daily samples to about 8-10% at 14 days.</w:t>
      </w:r>
    </w:p>
    <w:bookmarkEnd w:id="27"/>
    <w:bookmarkStart w:id="28" w:name="what-the-gam-has-and-has-not-been-run-on"/>
    <w:p>
      <w:pPr>
        <w:pStyle w:val="Heading2"/>
      </w:pPr>
      <w:r>
        <w:t xml:space="preserve">What the GAM has and has not been run on</w:t>
      </w:r>
    </w:p>
    <w:p>
      <w:pPr>
        <w:pStyle w:val="FirstParagraph"/>
      </w:pPr>
      <w:r>
        <w:t xml:space="preserve">The sampling interval in this plan comes from the Monte Carlo test on the</w:t>
      </w:r>
      <w:r>
        <w:t xml:space="preserve"> </w:t>
      </w:r>
      <w:r>
        <w:rPr>
          <w:b/>
          <w:bCs/>
        </w:rPr>
        <w:t xml:space="preserve">real</w:t>
      </w:r>
      <w:r>
        <w:t xml:space="preserve"> </w:t>
      </w:r>
      <w:r>
        <w:t xml:space="preserve">logger record (Figures 1 and 3). The chloride models themselves, including the GAM, have</w:t>
      </w:r>
      <w:r>
        <w:t xml:space="preserve"> </w:t>
      </w:r>
      <w:r>
        <w:rPr>
          <w:b/>
          <w:bCs/>
        </w:rPr>
        <w:t xml:space="preserve">not</w:t>
      </w:r>
      <w:r>
        <w:t xml:space="preserve"> </w:t>
      </w:r>
      <w:r>
        <w:t xml:space="preserve">been fitted to real paired data, because no chloride sample yet overlaps the logger record (zero pairs). They have been run only as a code test on a simulated data set (</w:t>
      </w:r>
      <w:r>
        <w:rPr>
          <w:rStyle w:val="VerbatimChar"/>
        </w:rPr>
        <w:t xml:space="preserve">simulate_synthetic_pairs()</w:t>
      </w:r>
      <w:r>
        <w:t xml:space="preserve"> </w:t>
      </w:r>
      <w:r>
        <w:t xml:space="preserve">in</w:t>
      </w:r>
      <w:r>
        <w:t xml:space="preserve"> </w:t>
      </w:r>
      <w:r>
        <w:rPr>
          <w:rStyle w:val="VerbatimChar"/>
        </w:rPr>
        <w:t xml:space="preserve">03_chloride_models.R</w:t>
      </w:r>
      <w:r>
        <w:t xml:space="preserve">): 60 samples every three days from 1 May 2026, with</w:t>
      </w:r>
    </w:p>
    <w:p>
      <w:pPr>
        <w:pStyle w:val="BodyText"/>
      </w:pPr>
      <m:oMathPara>
        <m:oMathParaPr>
          <m:jc m:val="center"/>
        </m:oMathParaPr>
        <m:oMath>
          <m:r>
            <m:t>S</m:t>
          </m:r>
          <m:r>
            <m:t>C</m:t>
          </m:r>
          <m:r>
            <m:rPr>
              <m:sty m:val="p"/>
            </m:rPr>
            <m:t>=</m:t>
          </m:r>
          <m:r>
            <m:t>300</m:t>
          </m:r>
          <m:r>
            <m:rPr>
              <m:sty m:val="p"/>
            </m:rPr>
            <m:t>+</m:t>
          </m:r>
          <m:r>
            <m:t>40</m:t>
          </m:r>
          <m:r>
            <m:rPr>
              <m:sty m:val="p"/>
            </m:rPr>
            <m:t>sin</m:t>
          </m:r>
          <m:r>
            <m:t>​</m:t>
          </m:r>
          <m:d>
            <m:dPr>
              <m:begChr m:val="("/>
              <m:sepChr m:val=""/>
              <m:endChr m:val=")"/>
              <m:grow/>
            </m:dPr>
            <m:e>
              <m:f>
                <m:fPr>
                  <m:type m:val="lin"/>
                </m:fPr>
                <m:num>
                  <m:r>
                    <m:t>2</m:t>
                  </m:r>
                  <m:r>
                    <m:t>π</m:t>
                  </m:r>
                  <m:r>
                    <m:t>d</m:t>
                  </m:r>
                </m:num>
                <m:den>
                  <m:r>
                    <m:t>365</m:t>
                  </m:r>
                </m:den>
              </m:f>
            </m:e>
          </m:d>
          <m:r>
            <m:rPr>
              <m:sty m:val="p"/>
            </m:rPr>
            <m:t>+</m:t>
          </m:r>
          <m:r>
            <m:rPr>
              <m:sty m:val="p"/>
            </m:rPr>
            <m:t>N</m:t>
          </m:r>
          <m:r>
            <m:rPr>
              <m:sty m:val="p"/>
            </m:rPr>
            <m:t>(</m:t>
          </m:r>
          <m:r>
            <m:t>0</m:t>
          </m:r>
          <m:r>
            <m:rPr>
              <m:sty m:val="p"/>
            </m:rPr>
            <m:t>,</m:t>
          </m:r>
          <m:r>
            <m:t>15</m:t>
          </m:r>
          <m:r>
            <m:rPr>
              <m:sty m:val="p"/>
            </m:rPr>
            <m:t>)</m:t>
          </m:r>
          <m:r>
            <m:rPr>
              <m:sty m:val="p"/>
            </m:rPr>
            <m:t>,</m:t>
          </m:r>
          <m:r>
            <m:t> </m:t>
          </m:r>
          <m:r>
            <m:t>T</m:t>
          </m:r>
          <m:r>
            <m:rPr>
              <m:sty m:val="p"/>
            </m:rPr>
            <m:t>=</m:t>
          </m:r>
          <m:r>
            <m:t>15</m:t>
          </m:r>
          <m:r>
            <m:rPr>
              <m:sty m:val="p"/>
            </m:rPr>
            <m:t>+</m:t>
          </m:r>
          <m:r>
            <m:t>8</m:t>
          </m:r>
          <m:r>
            <m:rPr>
              <m:sty m:val="p"/>
            </m:rPr>
            <m:t>sin</m:t>
          </m:r>
          <m:r>
            <m:t>​</m:t>
          </m:r>
          <m:d>
            <m:dPr>
              <m:begChr m:val="("/>
              <m:sepChr m:val=""/>
              <m:endChr m:val=")"/>
              <m:grow/>
            </m:dPr>
            <m:e>
              <m:f>
                <m:fPr>
                  <m:type m:val="lin"/>
                </m:fPr>
                <m:num>
                  <m:r>
                    <m:t>2</m:t>
                  </m:r>
                  <m:r>
                    <m:t>π</m:t>
                  </m:r>
                  <m:r>
                    <m:rPr>
                      <m:sty m:val="p"/>
                    </m:rPr>
                    <m:t>(</m:t>
                  </m:r>
                  <m:r>
                    <m:t>d</m:t>
                  </m:r>
                  <m:r>
                    <m:rPr>
                      <m:sty m:val="p"/>
                    </m:rPr>
                    <m:t>−</m:t>
                  </m:r>
                  <m:r>
                    <m:t>60</m:t>
                  </m:r>
                  <m:r>
                    <m:rPr>
                      <m:sty m:val="p"/>
                    </m:rPr>
                    <m:t>)</m:t>
                  </m:r>
                </m:num>
                <m:den>
                  <m:r>
                    <m:t>365</m:t>
                  </m:r>
                </m:den>
              </m:f>
            </m:e>
          </m:d>
          <m:r>
            <m:rPr>
              <m:sty m:val="p"/>
            </m:rPr>
            <m:t>+</m:t>
          </m:r>
          <m:r>
            <m:rPr>
              <m:sty m:val="p"/>
            </m:rPr>
            <m:t>N</m:t>
          </m:r>
          <m:r>
            <m:rPr>
              <m:sty m:val="p"/>
            </m:rPr>
            <m:t>(</m:t>
          </m:r>
          <m:r>
            <m:t>0</m:t>
          </m:r>
          <m:r>
            <m:rPr>
              <m:sty m:val="p"/>
            </m:rPr>
            <m:t>,</m:t>
          </m:r>
          <m:r>
            <m:t>1.5</m:t>
          </m:r>
          <m:r>
            <m:rPr>
              <m:sty m:val="p"/>
            </m:rPr>
            <m:t>)</m:t>
          </m:r>
          <m:r>
            <m:rPr>
              <m:sty m:val="p"/>
            </m:rPr>
            <m:t>,</m:t>
          </m:r>
        </m:oMath>
      </m:oMathPara>
    </w:p>
    <w:p>
      <w:pPr>
        <w:pStyle w:val="FirstParagraph"/>
      </w:pPr>
      <m:oMathPara>
        <m:oMathParaPr>
          <m:jc m:val="center"/>
        </m:oMathParaPr>
        <m:oMath>
          <m:r>
            <m:rPr>
              <m:sty m:val="p"/>
            </m:rPr>
            <m:t>C</m:t>
          </m:r>
          <m:r>
            <m:rPr>
              <m:sty m:val="p"/>
            </m:rPr>
            <m:t>l</m:t>
          </m:r>
          <m:r>
            <m:rPr>
              <m:sty m:val="p"/>
            </m:rPr>
            <m:t>=</m:t>
          </m:r>
          <m:r>
            <m:t>1</m:t>
          </m:r>
          <m:r>
            <m:rPr>
              <m:sty m:val="p"/>
            </m:rPr>
            <m:t>+</m:t>
          </m:r>
          <m:r>
            <m:t>0.071</m:t>
          </m:r>
          <m:r>
            <m:t> </m:t>
          </m:r>
          <m:r>
            <m:t>S</m:t>
          </m:r>
          <m:sSub>
            <m:e>
              <m:r>
                <m:t>C</m:t>
              </m:r>
            </m:e>
            <m:sub>
              <m:r>
                <m:rPr>
                  <m:nor/>
                  <m:sty m:val="p"/>
                </m:rPr>
                <m:t>lag</m:t>
              </m:r>
            </m:sub>
          </m:sSub>
          <m:r>
            <m:rPr>
              <m:sty m:val="p"/>
            </m:rPr>
            <m:t>+</m:t>
          </m:r>
          <m:r>
            <m:t>0.1</m:t>
          </m:r>
          <m:r>
            <m:t> </m:t>
          </m:r>
          <m:sSub>
            <m:e>
              <m:r>
                <m:t>T</m:t>
              </m:r>
            </m:e>
            <m:sub>
              <m:r>
                <m:rPr>
                  <m:nor/>
                  <m:sty m:val="p"/>
                </m:rPr>
                <m:t>lag</m:t>
              </m:r>
            </m:sub>
          </m:sSub>
          <m:r>
            <m:rPr>
              <m:sty m:val="p"/>
            </m:rPr>
            <m:t>+</m:t>
          </m:r>
          <m:r>
            <m:rPr>
              <m:sty m:val="p"/>
            </m:rPr>
            <m:t>N</m:t>
          </m:r>
          <m:r>
            <m:rPr>
              <m:sty m:val="p"/>
            </m:rPr>
            <m:t>(</m:t>
          </m:r>
          <m:r>
            <m:t>0</m:t>
          </m:r>
          <m:r>
            <m:rPr>
              <m:sty m:val="p"/>
            </m:rPr>
            <m:t>,</m:t>
          </m:r>
          <m:r>
            <m:t>1.5</m:t>
          </m:r>
          <m:r>
            <m:rPr>
              <m:sty m:val="p"/>
            </m:rPr>
            <m:t>)</m:t>
          </m:r>
          <m:r>
            <m:rPr>
              <m:sty m:val="p"/>
            </m:rPr>
            <m:t>,</m:t>
          </m:r>
        </m:oMath>
      </m:oMathPara>
    </w:p>
    <w:p>
      <w:pPr>
        <w:pStyle w:val="FirstParagraph"/>
      </w:pPr>
      <w:r>
        <w:t xml:space="preserve">where the lag is six days. The slope 0.071 comes from the single real SBRR pair (Cl 17.1 mg/L at 241 uS/cm on 2026-05-01), so the simulated chloride stays in a realistic range; every other value is made up. Because the data were generated from a known linear rule, the exercise shows only that the fitting and cross-validation code runs and recovers a known relationship. It does not show how well a GAM will perform on Steamboat Creek, and it did not influence the sampling interval. The only real fit is the linear regression on 181 historical NDEP pairs in Figure 2, which predates the loggers. The calibration samples proposed in this document supply the first real pairs for the GAM.</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8" Target="media/rId18.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Chloride-conductance calibration: sampling plan and laboratory cost options</dc:title>
  <dc:creator>Tyler Irvin, University of Nevada, Reno</dc:creator>
  <cp:keywords/>
  <dcterms:created xsi:type="dcterms:W3CDTF">2026-10-30T03:19:49Z</dcterms:created>
  <dcterms:modified xsi:type="dcterms:W3CDTF">2026-10-30T03:19:49Z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Steamboat Hills geothermal outflow, Steamboat Creek (SBRR and SBGG)</vt:lpwstr>
  </property>
  <property fmtid="{D5CDD505-2E9C-101B-9397-08002B2CF9AE}" pid="12" name="toc-title">
    <vt:lpwstr>Table of contents</vt:lpwstr>
  </property>
</Properties>
</file>