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42.jpg" ContentType="image/jpeg"/>
  <Override PartName="/word/media/rId43.jpg" ContentType="image/jpeg"/>
  <Override PartName="/word/media/rId40.jpg" ContentType="image/jpeg"/>
  <Override PartName="/word/media/rId41.jpg" ContentType="image/jpeg"/>
  <Override PartName="/word/media/rId35.jpg" ContentType="image/jpeg"/>
  <Override PartName="/word/media/rId37.jpg" ContentType="image/jpeg"/>
  <Override PartName="/word/media/rId38.jpg" ContentType="image/jpeg"/>
  <Override PartName="/word/media/rId39.jpg" ContentType="image/jpeg"/>
  <Override PartName="/word/media/rId36.jpg" ContentType="image/jpeg"/>
  <Override PartName="/word/media/rId30.jpg" ContentType="image/jpeg"/>
  <Override PartName="/word/media/rId34.jpg" ContentType="image/jpeg"/>
  <Override PartName="/word/media/rId31.jpg" ContentType="image/jpeg"/>
  <Override PartName="/word/media/rId32.png" ContentType="image/png"/>
  <Override PartName="/word/media/rId33.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p>
    <w:p>
      <w:r>
        <w:pict>
          <v:rect style="width:0;height:1.5pt" o:hralign="center" o:hrstd="t" o:hr="t"/>
        </w:pict>
      </w:r>
    </w:p>
    <w:p>
      <w:pPr>
        <w:pStyle w:val="FirstParagraph"/>
      </w:pPr>
      <w:r>
        <w:t xml:space="preserve"> </w:t>
      </w:r>
      <w:r>
        <w:rPr>
          <w:i/>
        </w:rPr>
        <w:t xml:space="preserve">5/29/2022</w:t>
      </w:r>
      <w:r>
        <w:t xml:space="preserve"> </w:t>
      </w:r>
    </w:p>
    <w:p>
      <w:pPr>
        <w:pStyle w:val="BodyText"/>
      </w:pPr>
      <w:r>
        <w:rPr>
          <w:b/>
        </w:rPr>
        <w:t xml:space="preserve">Traditional Markets</w:t>
      </w:r>
    </w:p>
    <w:p>
      <w:pPr>
        <w:numPr>
          <w:ilvl w:val="0"/>
          <w:numId w:val="1001"/>
        </w:numPr>
      </w:pPr>
      <w:r>
        <w:t xml:space="preserve">Gavin Newsom</w:t>
      </w:r>
      <w:r>
        <w:t xml:space="preserve"> </w:t>
      </w:r>
      <w:hyperlink r:id="rId24">
        <w:r>
          <w:rPr>
            <w:rStyle w:val="Hyperlink"/>
          </w:rPr>
          <w:t xml:space="preserve">suggests</w:t>
        </w:r>
      </w:hyperlink>
      <w:r>
        <w:t xml:space="preserve"> </w:t>
      </w:r>
      <w:r>
        <w:t xml:space="preserve">oil price stimulus to combat inflation - lol Fight inflation by giving people more money to spend… right. Inflation is always a monetary phenomenon - more money chasing the same goods results in higher prices. Next will come price controls which are even worse. Taxes on energy and necessities are always regressive as seen in Europe and well covered by Zero Hedge and Doomberg.</w:t>
      </w:r>
    </w:p>
    <w:p>
      <w:pPr>
        <w:numPr>
          <w:ilvl w:val="0"/>
          <w:numId w:val="1001"/>
        </w:numPr>
      </w:pPr>
      <w:r>
        <w:t xml:space="preserve">Running to take Newsom’s spot as governor, Micheal Shellenberger has a much better understanding of the economy and energy markets as described in his own</w:t>
      </w:r>
      <w:r>
        <w:t xml:space="preserve"> </w:t>
      </w:r>
      <w:hyperlink r:id="rId25">
        <w:r>
          <w:rPr>
            <w:rStyle w:val="Hyperlink"/>
          </w:rPr>
          <w:t xml:space="preserve">Substack.</w:t>
        </w:r>
      </w:hyperlink>
      <w:r>
        <w:t xml:space="preserve"> </w:t>
      </w:r>
      <w:r>
        <w:t xml:space="preserve">I wish him luck in his candidacy.</w:t>
      </w:r>
    </w:p>
    <w:p>
      <w:pPr>
        <w:numPr>
          <w:ilvl w:val="0"/>
          <w:numId w:val="1001"/>
        </w:numPr>
      </w:pPr>
      <w:r>
        <w:t xml:space="preserve">China’s small-medium banks are insolvent? - Customers unable to access funds for a month. Lots of turmoil due to ridiculous lock downs, occams razor pivoting towards China will not open up until Europe is in official recession. US and Europe already in recession, but the time it’s acknowledged, it will be nearly over if it still likely ends with a fed pivot.</w:t>
      </w:r>
      <w:r>
        <w:t xml:space="preserve"> </w:t>
      </w:r>
      <w:hyperlink r:id="rId26">
        <w:r>
          <w:rPr>
            <w:rStyle w:val="Hyperlink"/>
          </w:rPr>
          <w:t xml:space="preserve">via Reuters</w:t>
        </w:r>
      </w:hyperlink>
    </w:p>
    <w:p>
      <w:pPr>
        <w:numPr>
          <w:ilvl w:val="0"/>
          <w:numId w:val="1001"/>
        </w:numPr>
      </w:pPr>
      <w:r>
        <w:t xml:space="preserve">China is</w:t>
      </w:r>
      <w:r>
        <w:t xml:space="preserve"> </w:t>
      </w:r>
      <w:hyperlink r:id="rId27">
        <w:r>
          <w:rPr>
            <w:rStyle w:val="Hyperlink"/>
          </w:rPr>
          <w:t xml:space="preserve">loosening</w:t>
        </w:r>
      </w:hyperlink>
      <w:r>
        <w:t xml:space="preserve"> </w:t>
      </w:r>
      <w:r>
        <w:t xml:space="preserve">by record amounts to make up for weak (or collapsing) housing market in China who does a lot more adjustable rate loans. (Evergrande’s toxic balance sheet?) China needs citizens taking new loans so they’re cutting rates, debt driven systems need more debt and inflationary bailouts. Current system is tight and desperate for new money.</w:t>
      </w:r>
    </w:p>
    <w:p>
      <w:pPr>
        <w:numPr>
          <w:ilvl w:val="0"/>
          <w:numId w:val="1001"/>
        </w:numPr>
      </w:pPr>
      <w:r>
        <w:t xml:space="preserve">Oil likely to rally further if China opens, inflation will continue even if YOY numbers go down slightly.</w:t>
      </w:r>
    </w:p>
    <w:p>
      <w:pPr>
        <w:numPr>
          <w:ilvl w:val="0"/>
          <w:numId w:val="1001"/>
        </w:numPr>
      </w:pPr>
      <w:r>
        <w:t xml:space="preserve">Bear market rally confirmed in traditional markets, back to risk on, temporary and short term mean reversion setting up for potential or likely lower lows in line with the high time frame mean reversion after decade long bubble in risk.</w:t>
      </w:r>
    </w:p>
    <w:p>
      <w:pPr>
        <w:numPr>
          <w:ilvl w:val="0"/>
          <w:numId w:val="1001"/>
        </w:numPr>
      </w:pPr>
      <w:r>
        <w:t xml:space="preserve">Fed announces only two more hikes, then data dependent, Powell is great at letting the markets know what should be expected.</w:t>
      </w:r>
    </w:p>
    <w:p>
      <w:pPr>
        <w:numPr>
          <w:ilvl w:val="0"/>
          <w:numId w:val="1001"/>
        </w:numPr>
      </w:pPr>
      <w:r>
        <w:t xml:space="preserve">Redfin</w:t>
      </w:r>
      <w:r>
        <w:t xml:space="preserve"> </w:t>
      </w:r>
      <w:hyperlink r:id="rId28">
        <w:r>
          <w:rPr>
            <w:rStyle w:val="Hyperlink"/>
          </w:rPr>
          <w:t xml:space="preserve">reporting</w:t>
        </w:r>
      </w:hyperlink>
      <w:r>
        <w:t xml:space="preserve"> </w:t>
      </w:r>
      <w:r>
        <w:t xml:space="preserve">1/5 home sellers drop prices last month</w:t>
      </w:r>
    </w:p>
    <w:p>
      <w:pPr>
        <w:numPr>
          <w:ilvl w:val="0"/>
          <w:numId w:val="1001"/>
        </w:numPr>
      </w:pPr>
      <w:r>
        <w:t xml:space="preserve">Redfin</w:t>
      </w:r>
      <w:r>
        <w:t xml:space="preserve"> </w:t>
      </w:r>
      <w:r>
        <w:t xml:space="preserve">“</w:t>
      </w:r>
      <w:r>
        <w:t xml:space="preserve">The monthly mortgage payment on the median asking price home declined slightly from a record high to $2,425 at the current 5.1% mortgage rate. This was up 42% from $1,708 a year earlier, when mortgage rates were 2.95%…Pending home sales were down 5.4% year over year.</w:t>
      </w:r>
      <w:r>
        <w:t xml:space="preserve">”</w:t>
      </w:r>
    </w:p>
    <w:p>
      <w:pPr>
        <w:numPr>
          <w:ilvl w:val="0"/>
          <w:numId w:val="1001"/>
        </w:numPr>
      </w:pPr>
      <w:r>
        <w:t xml:space="preserve">Fed Raising rates resulting in huge mortgage rate increase, highest since 2008, bond prices set to rally as safe haven compared to real estate.</w:t>
      </w:r>
    </w:p>
    <w:p>
      <w:pPr>
        <w:numPr>
          <w:ilvl w:val="0"/>
          <w:numId w:val="1001"/>
        </w:numPr>
      </w:pPr>
      <w:r>
        <w:t xml:space="preserve">University of Michigan</w:t>
      </w:r>
      <w:r>
        <w:t xml:space="preserve"> </w:t>
      </w:r>
      <w:r>
        <w:t xml:space="preserve">“</w:t>
      </w:r>
      <w:r>
        <w:t xml:space="preserve">home buying conditions</w:t>
      </w:r>
      <w:r>
        <w:t xml:space="preserve">”</w:t>
      </w:r>
      <w:r>
        <w:t xml:space="preserve"> </w:t>
      </w:r>
      <w:r>
        <w:t xml:space="preserve">are the worst they’ve been since the 1980’s -</w:t>
      </w:r>
      <w:r>
        <w:t xml:space="preserve"> </w:t>
      </w:r>
      <w:hyperlink r:id="rId29">
        <w:r>
          <w:rPr>
            <w:rStyle w:val="Hyperlink"/>
          </w:rPr>
          <w:t xml:space="preserve">Zero Hedge</w:t>
        </w:r>
      </w:hyperlink>
    </w:p>
    <w:p>
      <w:pPr>
        <w:pStyle w:val="FirstParagraph"/>
      </w:pPr>
      <w:r>
        <w:t xml:space="preserve"> </w:t>
      </w:r>
      <w:r>
        <w:t xml:space="preserve"> </w:t>
      </w:r>
      <w:r>
        <w:rPr>
          <w:b/>
        </w:rPr>
        <w:t xml:space="preserve">Crypto Markets</w:t>
      </w:r>
    </w:p>
    <w:p>
      <w:pPr>
        <w:numPr>
          <w:ilvl w:val="0"/>
          <w:numId w:val="1002"/>
        </w:numPr>
      </w:pPr>
      <w:r>
        <w:t xml:space="preserve">BTC playing catch up over the weekend, riskiest of risk assets will lag. Eventual decoupling will result in BTC being risk off, but this still seems like a distant future.</w:t>
      </w:r>
    </w:p>
    <w:p>
      <w:pPr>
        <w:numPr>
          <w:ilvl w:val="0"/>
          <w:numId w:val="1002"/>
        </w:numPr>
      </w:pPr>
      <w:r>
        <w:t xml:space="preserve">BTC Peak Fear and greed index recently reached 8 (now 10) - Extreme fear, good long term buy indicator despite potential further downside.</w:t>
      </w:r>
    </w:p>
    <w:p>
      <w:pPr>
        <w:numPr>
          <w:ilvl w:val="0"/>
          <w:numId w:val="1002"/>
        </w:numPr>
      </w:pPr>
      <w:r>
        <w:t xml:space="preserve">Alt/BTC pair is likely to continue to bleed until BTC shows monthly strength, BTC maxi’s always have a good point.</w:t>
      </w:r>
    </w:p>
    <w:p>
      <w:pPr>
        <w:pStyle w:val="FirstParagraph"/>
      </w:pPr>
    </w:p>
    <w:p>
      <w:pPr>
        <w:pStyle w:val="BodyText"/>
      </w:pPr>
      <w:r>
        <w:rPr>
          <w:b/>
        </w:rPr>
        <w:t xml:space="preserve">Charts</w:t>
      </w:r>
    </w:p>
    <w:p>
      <w:pPr>
        <w:pStyle w:val="BodyText"/>
      </w:pPr>
      <w:r>
        <w:drawing>
          <wp:inline>
            <wp:extent cx="5334000" cy="3796877"/>
            <wp:effectExtent b="0" l="0" r="0" t="0"/>
            <wp:docPr descr="" title="" id="1" name="Picture"/>
            <a:graphic>
              <a:graphicData uri="http://schemas.openxmlformats.org/drawingml/2006/picture">
                <pic:pic>
                  <pic:nvPicPr>
                    <pic:cNvPr descr="./Journalism/Economics/ongoingta/5-29-2022_1.jpg" id="0" name="Picture"/>
                    <pic:cNvPicPr>
                      <a:picLocks noChangeArrowheads="1" noChangeAspect="1"/>
                    </pic:cNvPicPr>
                  </pic:nvPicPr>
                  <pic:blipFill>
                    <a:blip r:embed="rId30"/>
                    <a:stretch>
                      <a:fillRect/>
                    </a:stretch>
                  </pic:blipFill>
                  <pic:spPr bwMode="auto">
                    <a:xfrm>
                      <a:off x="0" y="0"/>
                      <a:ext cx="5334000" cy="3796877"/>
                    </a:xfrm>
                    <a:prstGeom prst="rect">
                      <a:avLst/>
                    </a:prstGeom>
                    <a:noFill/>
                    <a:ln w="9525">
                      <a:noFill/>
                      <a:headEnd/>
                      <a:tailEnd/>
                    </a:ln>
                  </pic:spPr>
                </pic:pic>
              </a:graphicData>
            </a:graphic>
          </wp:inline>
        </w:drawing>
      </w:r>
      <w:r>
        <w:t xml:space="preserve"> </w:t>
      </w:r>
    </w:p>
    <w:p>
      <w:pPr>
        <w:pStyle w:val="BodyText"/>
      </w:pPr>
      <w:r>
        <w:drawing>
          <wp:inline>
            <wp:extent cx="5334000" cy="3724027"/>
            <wp:effectExtent b="0" l="0" r="0" t="0"/>
            <wp:docPr descr="" title="" id="1" name="Picture"/>
            <a:graphic>
              <a:graphicData uri="http://schemas.openxmlformats.org/drawingml/2006/picture">
                <pic:pic>
                  <pic:nvPicPr>
                    <pic:cNvPr descr="./Journalism/Economics/ongoingta/5-29-2022_3.jpg" id="0" name="Picture"/>
                    <pic:cNvPicPr>
                      <a:picLocks noChangeArrowheads="1" noChangeAspect="1"/>
                    </pic:cNvPicPr>
                  </pic:nvPicPr>
                  <pic:blipFill>
                    <a:blip r:embed="rId31"/>
                    <a:stretch>
                      <a:fillRect/>
                    </a:stretch>
                  </pic:blipFill>
                  <pic:spPr bwMode="auto">
                    <a:xfrm>
                      <a:off x="0" y="0"/>
                      <a:ext cx="5334000" cy="3724027"/>
                    </a:xfrm>
                    <a:prstGeom prst="rect">
                      <a:avLst/>
                    </a:prstGeom>
                    <a:noFill/>
                    <a:ln w="9525">
                      <a:noFill/>
                      <a:headEnd/>
                      <a:tailEnd/>
                    </a:ln>
                  </pic:spPr>
                </pic:pic>
              </a:graphicData>
            </a:graphic>
          </wp:inline>
        </w:drawing>
      </w:r>
      <w:r>
        <w:t xml:space="preserve"> </w:t>
      </w:r>
    </w:p>
    <w:p>
      <w:pPr>
        <w:pStyle w:val="BodyText"/>
      </w:pPr>
      <w:r>
        <w:drawing>
          <wp:inline>
            <wp:extent cx="5334000" cy="2055051"/>
            <wp:effectExtent b="0" l="0" r="0" t="0"/>
            <wp:docPr descr="" title="" id="1" name="Picture"/>
            <a:graphic>
              <a:graphicData uri="http://schemas.openxmlformats.org/drawingml/2006/picture">
                <pic:pic>
                  <pic:nvPicPr>
                    <pic:cNvPr descr="./Journalism/Economics/ongoingta/5-29-2022_4.png" id="0" name="Picture"/>
                    <pic:cNvPicPr>
                      <a:picLocks noChangeArrowheads="1" noChangeAspect="1"/>
                    </pic:cNvPicPr>
                  </pic:nvPicPr>
                  <pic:blipFill>
                    <a:blip r:embed="rId32"/>
                    <a:stretch>
                      <a:fillRect/>
                    </a:stretch>
                  </pic:blipFill>
                  <pic:spPr bwMode="auto">
                    <a:xfrm>
                      <a:off x="0" y="0"/>
                      <a:ext cx="5334000" cy="2055051"/>
                    </a:xfrm>
                    <a:prstGeom prst="rect">
                      <a:avLst/>
                    </a:prstGeom>
                    <a:noFill/>
                    <a:ln w="9525">
                      <a:noFill/>
                      <a:headEnd/>
                      <a:tailEnd/>
                    </a:ln>
                  </pic:spPr>
                </pic:pic>
              </a:graphicData>
            </a:graphic>
          </wp:inline>
        </w:drawing>
      </w:r>
      <w:r>
        <w:t xml:space="preserve"> </w:t>
      </w:r>
    </w:p>
    <w:p>
      <w:pPr>
        <w:pStyle w:val="BodyText"/>
      </w:pPr>
      <w:r>
        <w:drawing>
          <wp:inline>
            <wp:extent cx="5334000" cy="3477057"/>
            <wp:effectExtent b="0" l="0" r="0" t="0"/>
            <wp:docPr descr="" title="" id="1" name="Picture"/>
            <a:graphic>
              <a:graphicData uri="http://schemas.openxmlformats.org/drawingml/2006/picture">
                <pic:pic>
                  <pic:nvPicPr>
                    <pic:cNvPr descr="./Journalism/Economics/ongoingta/5-29-2022_5.jpg" id="0" name="Picture"/>
                    <pic:cNvPicPr>
                      <a:picLocks noChangeArrowheads="1" noChangeAspect="1"/>
                    </pic:cNvPicPr>
                  </pic:nvPicPr>
                  <pic:blipFill>
                    <a:blip r:embed="rId33"/>
                    <a:stretch>
                      <a:fillRect/>
                    </a:stretch>
                  </pic:blipFill>
                  <pic:spPr bwMode="auto">
                    <a:xfrm>
                      <a:off x="0" y="0"/>
                      <a:ext cx="5334000" cy="3477057"/>
                    </a:xfrm>
                    <a:prstGeom prst="rect">
                      <a:avLst/>
                    </a:prstGeom>
                    <a:noFill/>
                    <a:ln w="9525">
                      <a:noFill/>
                      <a:headEnd/>
                      <a:tailEnd/>
                    </a:ln>
                  </pic:spPr>
                </pic:pic>
              </a:graphicData>
            </a:graphic>
          </wp:inline>
        </w:drawing>
      </w:r>
      <w:r>
        <w:t xml:space="preserve"> </w:t>
      </w:r>
    </w:p>
    <w:p>
      <w:pPr>
        <w:pStyle w:val="BodyText"/>
      </w:pPr>
      <w:r>
        <w:drawing>
          <wp:inline>
            <wp:extent cx="5334000" cy="3790349"/>
            <wp:effectExtent b="0" l="0" r="0" t="0"/>
            <wp:docPr descr="" title="" id="1" name="Picture"/>
            <a:graphic>
              <a:graphicData uri="http://schemas.openxmlformats.org/drawingml/2006/picture">
                <pic:pic>
                  <pic:nvPicPr>
                    <pic:cNvPr descr="./Journalism/Economics/ongoingta/5-29-2022_2.jpg" id="0" name="Picture"/>
                    <pic:cNvPicPr>
                      <a:picLocks noChangeArrowheads="1" noChangeAspect="1"/>
                    </pic:cNvPicPr>
                  </pic:nvPicPr>
                  <pic:blipFill>
                    <a:blip r:embed="rId34"/>
                    <a:stretch>
                      <a:fillRect/>
                    </a:stretch>
                  </pic:blipFill>
                  <pic:spPr bwMode="auto">
                    <a:xfrm>
                      <a:off x="0" y="0"/>
                      <a:ext cx="5334000" cy="3790349"/>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t xml:space="preserve"> </w:t>
      </w:r>
      <w:r>
        <w:rPr>
          <w:i/>
        </w:rPr>
        <w:t xml:space="preserve">5/27/2022</w:t>
      </w:r>
      <w:r>
        <w:t xml:space="preserve"> </w:t>
      </w:r>
    </w:p>
    <w:p>
      <w:pPr>
        <w:numPr>
          <w:ilvl w:val="0"/>
          <w:numId w:val="1003"/>
        </w:numPr>
      </w:pPr>
      <w:r>
        <w:t xml:space="preserve">Traditional markets are having a nice rally after solid support at S&amp;P:3900, now above 4100. Still low call volume.</w:t>
      </w:r>
    </w:p>
    <w:p>
      <w:pPr>
        <w:numPr>
          <w:ilvl w:val="0"/>
          <w:numId w:val="1003"/>
        </w:numPr>
      </w:pPr>
      <w:r>
        <w:t xml:space="preserve">Volatility will likely remain high for several weeks.</w:t>
      </w:r>
    </w:p>
    <w:p>
      <w:pPr>
        <w:numPr>
          <w:ilvl w:val="0"/>
          <w:numId w:val="1003"/>
        </w:numPr>
      </w:pPr>
      <w:r>
        <w:t xml:space="preserve">Consumer savings accounts shredded, American’s are not able to adjust spending to keep up with newly higher prices. - chart from Zero hedge.</w:t>
      </w:r>
    </w:p>
    <w:p>
      <w:pPr>
        <w:numPr>
          <w:ilvl w:val="0"/>
          <w:numId w:val="1003"/>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3"/>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3"/>
        </w:numPr>
      </w:pPr>
      <w:r>
        <w:t xml:space="preserve">Lumber futures are down big at peak building season, houses should be being built but no one’s buying wood, long term housing shortage will continue until prices fall significantly.</w:t>
      </w:r>
    </w:p>
    <w:p>
      <w:pPr>
        <w:numPr>
          <w:ilvl w:val="0"/>
          <w:numId w:val="1003"/>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3"/>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35"/>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36"/>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37"/>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38"/>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39"/>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4"/>
        </w:numPr>
      </w:pPr>
      <w:r>
        <w:t xml:space="preserve">DXY and US10YR threatening to roll over (a point for the bulls, finally)</w:t>
      </w:r>
    </w:p>
    <w:p>
      <w:pPr>
        <w:numPr>
          <w:ilvl w:val="0"/>
          <w:numId w:val="1004"/>
        </w:numPr>
      </w:pPr>
      <w:r>
        <w:t xml:space="preserve">S&amp;P &amp; QQQ (&amp;BTC) looking at a bear market rally, possibly 7-15% from bottom</w:t>
      </w:r>
    </w:p>
    <w:p>
      <w:pPr>
        <w:numPr>
          <w:ilvl w:val="0"/>
          <w:numId w:val="1004"/>
        </w:numPr>
      </w:pPr>
      <w:r>
        <w:t xml:space="preserve">BTC target 35k then possibly run the 25K lows if bottom falls out of tradfi</w:t>
      </w:r>
    </w:p>
    <w:p>
      <w:pPr>
        <w:numPr>
          <w:ilvl w:val="0"/>
          <w:numId w:val="1004"/>
        </w:numPr>
      </w:pPr>
      <w:r>
        <w:t xml:space="preserve">Ideally 10 year falls for the right reason (inflation expectations down) rather than the wrong reason (growth expectations down)</w:t>
      </w:r>
    </w:p>
    <w:p>
      <w:pPr>
        <w:numPr>
          <w:ilvl w:val="0"/>
          <w:numId w:val="1004"/>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5"/>
        </w:numPr>
      </w:pPr>
      <w:r>
        <w:t xml:space="preserve">Possible bounce here</w:t>
      </w:r>
    </w:p>
    <w:p>
      <w:pPr>
        <w:numPr>
          <w:ilvl w:val="0"/>
          <w:numId w:val="1005"/>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5"/>
        </w:numPr>
      </w:pPr>
      <w:r>
        <w:t xml:space="preserve">Possible rally into November midterms,</w:t>
      </w:r>
    </w:p>
    <w:p>
      <w:pPr>
        <w:numPr>
          <w:ilvl w:val="0"/>
          <w:numId w:val="1005"/>
        </w:numPr>
      </w:pPr>
      <w:r>
        <w:t xml:space="preserve">Fed may sell Mortgage backed securities back into the market despite rapid rise in rates, housing will take a hit regardless</w:t>
      </w:r>
    </w:p>
    <w:p>
      <w:pPr>
        <w:numPr>
          <w:ilvl w:val="0"/>
          <w:numId w:val="1005"/>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5"/>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5"/>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40"/>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41"/>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42"/>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43"/>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44"/>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36" Target="media/rId36.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31" Target="media/rId31.jpg" /><Relationship Type="http://schemas.openxmlformats.org/officeDocument/2006/relationships/image" Id="rId32" Target="media/rId32.png" /><Relationship Type="http://schemas.openxmlformats.org/officeDocument/2006/relationships/image" Id="rId33" Target="media/rId33.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5" Target="https://substack.com/profile/2255433-michael-shellenberger" TargetMode="External" /><Relationship Type="http://schemas.openxmlformats.org/officeDocument/2006/relationships/hyperlink" Id="rId27" Target="https://www.bloomberg.com/news/articles/2022-05-20/china-cuts-borrowing-costs-by-record-to-boost-loan-demand" TargetMode="External" /><Relationship Type="http://schemas.openxmlformats.org/officeDocument/2006/relationships/hyperlink" Id="rId24" Target="https://www.gov.ca.gov/2022/03/23/governor-newsom-proposes-11-billion-relief-package-for-californians-facing-higher-gas-prices/" TargetMode="External" /><Relationship Type="http://schemas.openxmlformats.org/officeDocument/2006/relationships/hyperlink" Id="rId28" Target="https://www.redfin.com/news/housing-market-update-price-drops-surge-to-19pct/" TargetMode="External" /><Relationship Type="http://schemas.openxmlformats.org/officeDocument/2006/relationships/hyperlink" Id="rId26" Target="https://www.reuters.com/markets/asia/chinese-depositors-left-dark-three-local-banks-freeze-deposits-2022-05-18/" TargetMode="External" /><Relationship Type="http://schemas.openxmlformats.org/officeDocument/2006/relationships/hyperlink" Id="rId29" Target="https://www.zerohedge.com/personal-finance/umich-sentiment-tumbles-accelerates-may-home-buying-confidence-collapse"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5" Target="https://substack.com/profile/2255433-michael-shellenberger" TargetMode="External" /><Relationship Type="http://schemas.openxmlformats.org/officeDocument/2006/relationships/hyperlink" Id="rId27" Target="https://www.bloomberg.com/news/articles/2022-05-20/china-cuts-borrowing-costs-by-record-to-boost-loan-demand" TargetMode="External" /><Relationship Type="http://schemas.openxmlformats.org/officeDocument/2006/relationships/hyperlink" Id="rId24" Target="https://www.gov.ca.gov/2022/03/23/governor-newsom-proposes-11-billion-relief-package-for-californians-facing-higher-gas-prices/" TargetMode="External" /><Relationship Type="http://schemas.openxmlformats.org/officeDocument/2006/relationships/hyperlink" Id="rId28" Target="https://www.redfin.com/news/housing-market-update-price-drops-surge-to-19pct/" TargetMode="External" /><Relationship Type="http://schemas.openxmlformats.org/officeDocument/2006/relationships/hyperlink" Id="rId26" Target="https://www.reuters.com/markets/asia/chinese-depositors-left-dark-three-local-banks-freeze-deposits-2022-05-18/" TargetMode="External" /><Relationship Type="http://schemas.openxmlformats.org/officeDocument/2006/relationships/hyperlink" Id="rId29" Target="https://www.zerohedge.com/personal-finance/umich-sentiment-tumbles-accelerates-may-home-buying-confidence-collapse"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2022-05-30T04:18:39Z</dcterms:created>
  <dcterms:modified xsi:type="dcterms:W3CDTF">2022-05-30T04:18:39Z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