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pPr>
      <w:r>
        <w:rPr>
          <w:b/>
          <w:color w:val="F26522"/>
          <w:sz w:val="22"/>
        </w:rPr>
        <w:t>SOCURE</w:t>
      </w:r>
    </w:p>
    <w:p>
      <w:pPr>
        <w:spacing w:after="40"/>
      </w:pPr>
      <w:r>
        <w:rPr>
          <w:b/>
          <w:color w:val="D6480B"/>
          <w:sz w:val="44"/>
        </w:rPr>
        <w:t>Support Knowledge Base &amp; Escalation Process</w:t>
      </w:r>
    </w:p>
    <w:p>
      <w:pPr>
        <w:spacing w:after="80"/>
      </w:pPr>
      <w:r>
        <w:rPr>
          <w:color w:val="5A5A5A"/>
          <w:sz w:val="24"/>
        </w:rPr>
        <w:t>Common Issues, Resolutions, FAQs &amp; Escalation Framework – Socure on MeridianLink</w:t>
      </w:r>
    </w:p>
    <w:p>
      <w:pPr>
        <w:pBdr>
          <w:bottom w:val="single" w:sz="12" w:space="6" w:color="D6480B"/>
        </w:pBdr>
      </w:pPr>
      <w:r>
        <w:rPr>
          <w:i/>
          <w:color w:val="5A5A5A"/>
          <w:sz w:val="18"/>
        </w:rPr>
        <w:t>Prepared by Socure for MeridianLink Support  |  Socure × MeridianLink Partnership</w:t>
      </w:r>
    </w:p>
    <w:p>
      <w:pPr>
        <w:spacing w:after="120"/>
      </w:pPr>
      <w:r>
        <w:rPr>
          <w:b w:val="0"/>
          <w:i/>
          <w:color w:val="5A5A5A"/>
          <w:sz w:val="21"/>
        </w:rPr>
        <w:t>Purpose: A single reference for MeridianLink Tier 1/Tier 2 support to confidently handle Socure-related cases – understand the products, explain decisions, resolve common issues independently, and know exactly when (and when not) to escalate to Socure. Built from MeridianLink support-case history and the Socure × MeridianLink Support Training sessions.</w:t>
      </w:r>
    </w:p>
    <w:p>
      <w:pPr>
        <w:spacing w:after="120"/>
      </w:pPr>
      <w:r>
        <w:rPr>
          <w:b w:val="0"/>
          <w:i/>
          <w:color w:val="5A5A5A"/>
          <w:sz w:val="21"/>
        </w:rPr>
        <w:t>Log Socure cases through the MeridianLink Salesforce support portal (not chat/phone) for proper triage. The companion Support Intake Template should be completed before working or escalating a case.</w:t>
      </w:r>
    </w:p>
    <w:p>
      <w:pPr>
        <w:spacing w:before="240" w:after="80"/>
      </w:pPr>
      <w:r>
        <w:rPr>
          <w:b/>
          <w:color w:val="D6480B"/>
          <w:sz w:val="30"/>
        </w:rPr>
        <w:t>1. Socure Product Foundations (What MeridianLink Resells)</w:t>
      </w:r>
    </w:p>
    <w:p>
      <w:pPr>
        <w:spacing w:after="80"/>
      </w:pPr>
      <w:r>
        <w:rPr>
          <w:b w:val="0"/>
          <w:i w:val="0"/>
          <w:color w:val="1B1B1B"/>
          <w:sz w:val="21"/>
        </w:rPr>
        <w:t>MeridianLink's integration is prescriptive – every customer has the same fixed set of Socure products. Each product answers a different problem, so the first triage step is matching the customer's problem to the right product.</w:t>
      </w:r>
    </w:p>
    <w:tbl>
      <w:tblPr>
        <w:tblStyle w:val="TableGrid"/>
        <w:tblW w:type="auto" w:w="0"/>
        <w:jc w:val="left"/>
        <w:tblLook w:firstColumn="1" w:firstRow="1" w:lastColumn="0" w:lastRow="0" w:noHBand="0" w:noVBand="1" w:val="04A0"/>
      </w:tblPr>
      <w:tblGrid>
        <w:gridCol w:w="3312"/>
        <w:gridCol w:w="3312"/>
        <w:gridCol w:w="3312"/>
      </w:tblGrid>
      <w:tr>
        <w:tc>
          <w:tcPr>
            <w:tcW w:type="dxa" w:w="3024"/>
            <w:shd w:val="clear" w:color="auto" w:fill="D6480B"/>
          </w:tcPr>
          <w:p>
            <w:r>
              <w:rPr>
                <w:b/>
                <w:color w:val="FFFFFF"/>
                <w:sz w:val="20"/>
              </w:rPr>
              <w:t>Product</w:t>
            </w:r>
          </w:p>
        </w:tc>
        <w:tc>
          <w:tcPr>
            <w:tcW w:type="dxa" w:w="3888"/>
            <w:shd w:val="clear" w:color="auto" w:fill="D6480B"/>
          </w:tcPr>
          <w:p>
            <w:r>
              <w:rPr>
                <w:b/>
                <w:color w:val="FFFFFF"/>
                <w:sz w:val="20"/>
              </w:rPr>
              <w:t>Problem it solves</w:t>
            </w:r>
          </w:p>
        </w:tc>
        <w:tc>
          <w:tcPr>
            <w:tcW w:type="dxa" w:w="3168"/>
            <w:shd w:val="clear" w:color="auto" w:fill="D6480B"/>
          </w:tcPr>
          <w:p>
            <w:r>
              <w:rPr>
                <w:b/>
                <w:color w:val="FFFFFF"/>
                <w:sz w:val="20"/>
              </w:rPr>
              <w:t>Support note</w:t>
            </w:r>
          </w:p>
        </w:tc>
      </w:tr>
      <w:tr>
        <w:tc>
          <w:tcPr>
            <w:tcW w:type="dxa" w:w="3024"/>
          </w:tcPr>
          <w:p>
            <w:r>
              <w:rPr>
                <w:sz w:val="19"/>
              </w:rPr>
              <w:t>Sigma Identity Fraud</w:t>
            </w:r>
          </w:p>
        </w:tc>
        <w:tc>
          <w:tcPr>
            <w:tcW w:type="dxa" w:w="3888"/>
          </w:tcPr>
          <w:p>
            <w:r>
              <w:rPr>
                <w:sz w:val="19"/>
              </w:rPr>
              <w:t>Third-party / stolen ('true name') fraud – is it really this person?</w:t>
            </w:r>
          </w:p>
        </w:tc>
        <w:tc>
          <w:tcPr>
            <w:tcW w:type="dxa" w:w="3168"/>
          </w:tcPr>
          <w:p>
            <w:r>
              <w:rPr>
                <w:sz w:val="19"/>
              </w:rPr>
              <w:t>Probabilistic score 0.001–0.999; higher = riskier</w:t>
            </w:r>
          </w:p>
        </w:tc>
      </w:tr>
      <w:tr>
        <w:tc>
          <w:tcPr>
            <w:tcW w:type="dxa" w:w="3024"/>
            <w:shd w:val="clear" w:color="auto" w:fill="FDEBE0"/>
          </w:tcPr>
          <w:p>
            <w:r>
              <w:rPr>
                <w:sz w:val="19"/>
              </w:rPr>
              <w:t>Sigma Synthetic</w:t>
            </w:r>
          </w:p>
        </w:tc>
        <w:tc>
          <w:tcPr>
            <w:tcW w:type="dxa" w:w="3888"/>
            <w:shd w:val="clear" w:color="auto" w:fill="FDEBE0"/>
          </w:tcPr>
          <w:p>
            <w:r>
              <w:rPr>
                <w:sz w:val="19"/>
              </w:rPr>
              <w:t>Synthetic fraud – fabricated or manipulated identities</w:t>
            </w:r>
          </w:p>
        </w:tc>
        <w:tc>
          <w:tcPr>
            <w:tcW w:type="dxa" w:w="3168"/>
            <w:shd w:val="clear" w:color="auto" w:fill="FDEBE0"/>
          </w:tcPr>
          <w:p>
            <w:r>
              <w:rPr>
                <w:sz w:val="19"/>
              </w:rPr>
              <w:t>Won't catch third-party or first-party fraud</w:t>
            </w:r>
          </w:p>
        </w:tc>
      </w:tr>
      <w:tr>
        <w:tc>
          <w:tcPr>
            <w:tcW w:type="dxa" w:w="3024"/>
          </w:tcPr>
          <w:p>
            <w:r>
              <w:rPr>
                <w:sz w:val="19"/>
              </w:rPr>
              <w:t>Email / Phone / Address RiskScore</w:t>
            </w:r>
          </w:p>
        </w:tc>
        <w:tc>
          <w:tcPr>
            <w:tcW w:type="dxa" w:w="3888"/>
          </w:tcPr>
          <w:p>
            <w:r>
              <w:rPr>
                <w:sz w:val="19"/>
              </w:rPr>
              <w:t>Risk of a specific PII element (age, tenure, validity)</w:t>
            </w:r>
          </w:p>
        </w:tc>
        <w:tc>
          <w:tcPr>
            <w:tcW w:type="dxa" w:w="3168"/>
          </w:tcPr>
          <w:p>
            <w:r>
              <w:rPr>
                <w:sz w:val="19"/>
              </w:rPr>
              <w:t>Isolates element-level risk; complements Sigma</w:t>
            </w:r>
          </w:p>
        </w:tc>
      </w:tr>
      <w:tr>
        <w:tc>
          <w:tcPr>
            <w:tcW w:type="dxa" w:w="3024"/>
            <w:shd w:val="clear" w:color="auto" w:fill="FDEBE0"/>
          </w:tcPr>
          <w:p>
            <w:r>
              <w:rPr>
                <w:sz w:val="19"/>
              </w:rPr>
              <w:t>Verify (KYC/CIP)</w:t>
            </w:r>
          </w:p>
        </w:tc>
        <w:tc>
          <w:tcPr>
            <w:tcW w:type="dxa" w:w="3888"/>
            <w:shd w:val="clear" w:color="auto" w:fill="FDEBE0"/>
          </w:tcPr>
          <w:p>
            <w:r>
              <w:rPr>
                <w:sz w:val="19"/>
              </w:rPr>
              <w:t>Does this identity exist in the natural world? (Patriot Act / KYC)</w:t>
            </w:r>
          </w:p>
        </w:tc>
        <w:tc>
          <w:tcPr>
            <w:tcW w:type="dxa" w:w="3168"/>
            <w:shd w:val="clear" w:color="auto" w:fill="FDEBE0"/>
          </w:tcPr>
          <w:p>
            <w:r>
              <w:rPr>
                <w:sz w:val="19"/>
              </w:rPr>
              <w:t>Returns field validations (match 0.99 / no-match 0.01); look here for conversion issues</w:t>
            </w:r>
          </w:p>
        </w:tc>
      </w:tr>
      <w:tr>
        <w:tc>
          <w:tcPr>
            <w:tcW w:type="dxa" w:w="3024"/>
          </w:tcPr>
          <w:p>
            <w:r>
              <w:rPr>
                <w:sz w:val="19"/>
              </w:rPr>
              <w:t>Global Watchlist Plus</w:t>
            </w:r>
          </w:p>
        </w:tc>
        <w:tc>
          <w:tcPr>
            <w:tcW w:type="dxa" w:w="3888"/>
          </w:tcPr>
          <w:p>
            <w:r>
              <w:rPr>
                <w:sz w:val="19"/>
              </w:rPr>
              <w:t>Sanctions, enforcements &amp; PEP screening</w:t>
            </w:r>
          </w:p>
        </w:tc>
        <w:tc>
          <w:tcPr>
            <w:tcW w:type="dxa" w:w="3168"/>
          </w:tcPr>
          <w:p>
            <w:r>
              <w:rPr>
                <w:sz w:val="19"/>
              </w:rPr>
              <w:t>Screening only (no monitoring). MeridianLink uses the 'Plus' tier; adverse-media tier not supported</w:t>
            </w:r>
          </w:p>
        </w:tc>
      </w:tr>
      <w:tr>
        <w:tc>
          <w:tcPr>
            <w:tcW w:type="dxa" w:w="3024"/>
            <w:shd w:val="clear" w:color="auto" w:fill="FDEBE0"/>
          </w:tcPr>
          <w:p>
            <w:r>
              <w:rPr>
                <w:sz w:val="19"/>
              </w:rPr>
              <w:t>Device Risk / Digital Intelligence</w:t>
            </w:r>
          </w:p>
        </w:tc>
        <w:tc>
          <w:tcPr>
            <w:tcW w:type="dxa" w:w="3888"/>
            <w:shd w:val="clear" w:color="auto" w:fill="FDEBE0"/>
          </w:tcPr>
          <w:p>
            <w:r>
              <w:rPr>
                <w:sz w:val="19"/>
              </w:rPr>
              <w:t>Risk of the device itself (OS, proxy/VPN, velocity)</w:t>
            </w:r>
          </w:p>
        </w:tc>
        <w:tc>
          <w:tcPr>
            <w:tcW w:type="dxa" w:w="3168"/>
            <w:shd w:val="clear" w:color="auto" w:fill="FDEBE0"/>
          </w:tcPr>
          <w:p>
            <w:r>
              <w:rPr>
                <w:sz w:val="19"/>
              </w:rPr>
              <w:t>Runs passively; also alongside DocV</w:t>
            </w:r>
          </w:p>
        </w:tc>
      </w:tr>
      <w:tr>
        <w:tc>
          <w:tcPr>
            <w:tcW w:type="dxa" w:w="3024"/>
          </w:tcPr>
          <w:p>
            <w:r>
              <w:rPr>
                <w:sz w:val="19"/>
              </w:rPr>
              <w:t>Document Verification (DocV)</w:t>
            </w:r>
          </w:p>
        </w:tc>
        <w:tc>
          <w:tcPr>
            <w:tcW w:type="dxa" w:w="3888"/>
          </w:tcPr>
          <w:p>
            <w:r>
              <w:rPr>
                <w:sz w:val="19"/>
              </w:rPr>
              <w:t>Step-up ID + selfie check (liveness, biometrics, tampering)</w:t>
            </w:r>
          </w:p>
        </w:tc>
        <w:tc>
          <w:tcPr>
            <w:tcW w:type="dxa" w:w="3168"/>
          </w:tcPr>
          <w:p>
            <w:r>
              <w:rPr>
                <w:sz w:val="19"/>
              </w:rPr>
              <w:t>Hard-coded logic; triggered only by a 'refer'</w:t>
            </w:r>
          </w:p>
        </w:tc>
      </w:tr>
    </w:tbl>
    <w:p>
      <w:pPr>
        <w:spacing w:after="40"/>
      </w:pPr>
    </w:p>
    <w:p>
      <w:pPr>
        <w:spacing w:after="120"/>
      </w:pPr>
      <w:r>
        <w:rPr>
          <w:b w:val="0"/>
          <w:i/>
          <w:color w:val="5A5A5A"/>
          <w:sz w:val="21"/>
        </w:rPr>
        <w:t>Not in the integration today (route to the Account Executive): adverse-media watchlist tier, first-party fraud, graph intelligence, eCBSV, and watchlist monitoring. These may come with the future RiskOS platform.</w:t>
      </w:r>
    </w:p>
    <w:p>
      <w:pPr>
        <w:spacing w:before="240" w:after="80"/>
      </w:pPr>
      <w:r>
        <w:rPr>
          <w:b/>
          <w:color w:val="D6480B"/>
          <w:sz w:val="30"/>
        </w:rPr>
        <w:t>2. How Socure Decisions Work</w:t>
      </w:r>
    </w:p>
    <w:p>
      <w:pPr>
        <w:pStyle w:val="ListBullet"/>
        <w:spacing w:after="40"/>
      </w:pPr>
      <w:r>
        <w:rPr>
          <w:b/>
          <w:sz w:val="21"/>
        </w:rPr>
        <w:t xml:space="preserve">Raw outputs: </w:t>
      </w:r>
      <w:r>
        <w:rPr>
          <w:sz w:val="21"/>
        </w:rPr>
        <w:t>Socure models return raw outputs only – scores, reason codes, and field validations. They do NOT return an accept/reject by themselves.</w:t>
      </w:r>
    </w:p>
    <w:p>
      <w:pPr>
        <w:pStyle w:val="ListBullet"/>
        <w:spacing w:after="40"/>
      </w:pPr>
      <w:r>
        <w:rPr>
          <w:b/>
          <w:sz w:val="21"/>
        </w:rPr>
        <w:t xml:space="preserve">Customer logic decides: </w:t>
      </w:r>
      <w:r>
        <w:rPr>
          <w:sz w:val="21"/>
        </w:rPr>
        <w:t>The customer's decision logic turns those outputs into the final decision. Customers own and define their own rules and thresholds.</w:t>
      </w:r>
    </w:p>
    <w:p>
      <w:pPr>
        <w:pStyle w:val="ListBullet"/>
        <w:spacing w:after="40"/>
      </w:pPr>
      <w:r>
        <w:rPr>
          <w:b/>
          <w:sz w:val="21"/>
        </w:rPr>
        <w:t xml:space="preserve">R vs. I codes: </w:t>
      </w:r>
      <w:r>
        <w:rPr>
          <w:sz w:val="21"/>
        </w:rPr>
        <w:t>R codes indicate risk; I codes are informational (positive/neutral). A reason code is a signal, not a one-to-one proof of fraud (e.g., a non-major phone carrier is a risk signal, not fraud).</w:t>
      </w:r>
    </w:p>
    <w:p>
      <w:pPr>
        <w:pStyle w:val="ListBullet"/>
        <w:spacing w:after="40"/>
      </w:pPr>
      <w:r>
        <w:rPr>
          <w:b/>
          <w:sz w:val="21"/>
        </w:rPr>
        <w:t xml:space="preserve">Score scale: </w:t>
      </w:r>
      <w:r>
        <w:rPr>
          <w:sz w:val="21"/>
        </w:rPr>
        <w:t>Fraud scores run 0.001–0.999 (closer to 1 = riskier). Risk generally 'starts to appear' at ≥0.90; the riskiest 1% sits near 0.99. Baseline logic is tuned to friction the riskiest users.</w:t>
      </w:r>
    </w:p>
    <w:p>
      <w:pPr>
        <w:spacing w:before="160" w:after="40"/>
      </w:pPr>
      <w:r>
        <w:rPr>
          <w:b/>
          <w:color w:val="F26522"/>
          <w:sz w:val="24"/>
        </w:rPr>
        <w:t>Decision buckets (in order of precedence)</w:t>
      </w:r>
    </w:p>
    <w:tbl>
      <w:tblPr>
        <w:tblStyle w:val="TableGrid"/>
        <w:tblW w:type="auto" w:w="0"/>
        <w:jc w:val="left"/>
        <w:tblLook w:firstColumn="1" w:firstRow="1" w:lastColumn="0" w:lastRow="0" w:noHBand="0" w:noVBand="1" w:val="04A0"/>
      </w:tblPr>
      <w:tblGrid>
        <w:gridCol w:w="4968"/>
        <w:gridCol w:w="4968"/>
      </w:tblGrid>
      <w:tr>
        <w:tc>
          <w:tcPr>
            <w:tcW w:type="dxa" w:w="2304"/>
            <w:shd w:val="clear" w:color="auto" w:fill="D6480B"/>
          </w:tcPr>
          <w:p>
            <w:r>
              <w:rPr>
                <w:b/>
                <w:color w:val="FFFFFF"/>
                <w:sz w:val="20"/>
              </w:rPr>
              <w:t>Bucket</w:t>
            </w:r>
          </w:p>
        </w:tc>
        <w:tc>
          <w:tcPr>
            <w:tcW w:type="dxa" w:w="7776"/>
            <w:shd w:val="clear" w:color="auto" w:fill="D6480B"/>
          </w:tcPr>
          <w:p>
            <w:r>
              <w:rPr>
                <w:b/>
                <w:color w:val="FFFFFF"/>
                <w:sz w:val="20"/>
              </w:rPr>
              <w:t>Meaning</w:t>
            </w:r>
          </w:p>
        </w:tc>
      </w:tr>
      <w:tr>
        <w:tc>
          <w:tcPr>
            <w:tcW w:type="dxa" w:w="2304"/>
          </w:tcPr>
          <w:p>
            <w:r>
              <w:rPr>
                <w:sz w:val="19"/>
              </w:rPr>
              <w:t>Reject</w:t>
            </w:r>
          </w:p>
        </w:tc>
        <w:tc>
          <w:tcPr>
            <w:tcW w:type="dxa" w:w="7776"/>
          </w:tcPr>
          <w:p>
            <w:r>
              <w:rPr>
                <w:sz w:val="19"/>
              </w:rPr>
              <w:t>Highest precedence; transaction is declined (not stepped up to DocV). Often CIP-related (e.g., SSN not resolved/deceased).</w:t>
            </w:r>
          </w:p>
        </w:tc>
      </w:tr>
      <w:tr>
        <w:tc>
          <w:tcPr>
            <w:tcW w:type="dxa" w:w="2304"/>
            <w:shd w:val="clear" w:color="auto" w:fill="FDEBE0"/>
          </w:tcPr>
          <w:p>
            <w:r>
              <w:rPr>
                <w:sz w:val="19"/>
              </w:rPr>
              <w:t>Refer</w:t>
            </w:r>
          </w:p>
        </w:tc>
        <w:tc>
          <w:tcPr>
            <w:tcW w:type="dxa" w:w="7776"/>
            <w:shd w:val="clear" w:color="auto" w:fill="FDEBE0"/>
          </w:tcPr>
          <w:p>
            <w:r>
              <w:rPr>
                <w:sz w:val="19"/>
              </w:rPr>
              <w:t>Steps the user up to Document Verification for additional due diligence. DocV only fires off a refer.</w:t>
            </w:r>
          </w:p>
        </w:tc>
      </w:tr>
      <w:tr>
        <w:tc>
          <w:tcPr>
            <w:tcW w:type="dxa" w:w="2304"/>
          </w:tcPr>
          <w:p>
            <w:r>
              <w:rPr>
                <w:sz w:val="19"/>
              </w:rPr>
              <w:t>Resubmit</w:t>
            </w:r>
          </w:p>
        </w:tc>
        <w:tc>
          <w:tcPr>
            <w:tcW w:type="dxa" w:w="7776"/>
          </w:tcPr>
          <w:p>
            <w:r>
              <w:rPr>
                <w:sz w:val="19"/>
              </w:rPr>
              <w:t>Usually address-related (PO box / commercial) or DocV quality control; MeridianLink handles it much like a manual review.</w:t>
            </w:r>
          </w:p>
        </w:tc>
      </w:tr>
      <w:tr>
        <w:tc>
          <w:tcPr>
            <w:tcW w:type="dxa" w:w="2304"/>
            <w:shd w:val="clear" w:color="auto" w:fill="FDEBE0"/>
          </w:tcPr>
          <w:p>
            <w:r>
              <w:rPr>
                <w:sz w:val="19"/>
              </w:rPr>
              <w:t>Manual Review</w:t>
            </w:r>
          </w:p>
        </w:tc>
        <w:tc>
          <w:tcPr>
            <w:tcW w:type="dxa" w:w="7776"/>
            <w:shd w:val="clear" w:color="auto" w:fill="FDEBE0"/>
          </w:tcPr>
          <w:p>
            <w:r>
              <w:rPr>
                <w:sz w:val="19"/>
              </w:rPr>
              <w:t>Typically reserved for watchlist hits; configurable on the Socure dashboard.</w:t>
            </w:r>
          </w:p>
        </w:tc>
      </w:tr>
      <w:tr>
        <w:tc>
          <w:tcPr>
            <w:tcW w:type="dxa" w:w="2304"/>
          </w:tcPr>
          <w:p>
            <w:r>
              <w:rPr>
                <w:sz w:val="19"/>
              </w:rPr>
              <w:t>Accept</w:t>
            </w:r>
          </w:p>
        </w:tc>
        <w:tc>
          <w:tcPr>
            <w:tcW w:type="dxa" w:w="7776"/>
          </w:tcPr>
          <w:p>
            <w:r>
              <w:rPr>
                <w:sz w:val="19"/>
              </w:rPr>
              <w:t>Nothing adverse / no conditions met – the applicant passes.</w:t>
            </w:r>
          </w:p>
        </w:tc>
      </w:tr>
    </w:tbl>
    <w:p>
      <w:pPr>
        <w:spacing w:after="40"/>
      </w:pPr>
    </w:p>
    <w:p>
      <w:pPr>
        <w:spacing w:after="120"/>
      </w:pPr>
      <w:r>
        <w:rPr>
          <w:b w:val="0"/>
          <w:i/>
          <w:color w:val="5A5A5A"/>
          <w:sz w:val="21"/>
        </w:rPr>
        <w:t>Triage shortcut when a customer says 'this should have failed': open the transaction → was it anything other than Accept? If it Accepted, the thresholds/reason codes that fired simply aren't in their decision logic today. Use the dashboard Explainability summary and the Decision Engine to confirm.</w:t>
      </w:r>
    </w:p>
    <w:p>
      <w:pPr>
        <w:spacing w:before="240" w:after="80"/>
      </w:pPr>
      <w:r>
        <w:rPr>
          <w:b/>
          <w:color w:val="D6480B"/>
          <w:sz w:val="30"/>
        </w:rPr>
        <w:t>3. Top Issue Categories &amp; Recommended Resolutions</w:t>
      </w:r>
    </w:p>
    <w:p>
      <w:pPr>
        <w:spacing w:before="160" w:after="40"/>
      </w:pPr>
      <w:r>
        <w:rPr>
          <w:b/>
          <w:color w:val="F26522"/>
          <w:sz w:val="24"/>
        </w:rPr>
        <w:t>3.1 DocV issues &amp; inquiries</w:t>
      </w:r>
    </w:p>
    <w:p>
      <w:pPr>
        <w:pStyle w:val="ListBullet"/>
        <w:spacing w:after="40"/>
      </w:pPr>
      <w:r>
        <w:rPr>
          <w:b/>
          <w:sz w:val="21"/>
        </w:rPr>
        <w:t xml:space="preserve">Symptoms: </w:t>
      </w:r>
      <w:r>
        <w:rPr>
          <w:sz w:val="21"/>
        </w:rPr>
        <w:t>Errors, missing results, rejections, expired/counterfeit ID flags, injection-attack/AI rejections, or delays.</w:t>
      </w:r>
    </w:p>
    <w:p>
      <w:pPr>
        <w:pStyle w:val="ListBullet"/>
        <w:spacing w:after="40"/>
      </w:pPr>
      <w:r>
        <w:rPr>
          <w:b/>
          <w:sz w:val="21"/>
        </w:rPr>
        <w:t xml:space="preserve">Resolution: </w:t>
      </w:r>
      <w:r>
        <w:rPr>
          <w:sz w:val="21"/>
        </w:rPr>
        <w:t>Walk through status checks and the returned reason codes (they explain rejections). Coach on submission best practices and image quality. Resubmits (~1.5%) are usually quality control.</w:t>
      </w:r>
    </w:p>
    <w:p>
      <w:pPr>
        <w:pStyle w:val="ListBullet"/>
        <w:spacing w:after="40"/>
      </w:pPr>
      <w:r>
        <w:rPr>
          <w:b/>
          <w:sz w:val="21"/>
        </w:rPr>
        <w:t xml:space="preserve">Note: </w:t>
      </w:r>
      <w:r>
        <w:rPr>
          <w:sz w:val="21"/>
        </w:rPr>
        <w:t>DocV 'keeps spinning' / long load: this is SDK initialization owned by MeridianLink – check with MeridianLink engineering first; often applicant internet or a one-off.</w:t>
      </w:r>
    </w:p>
    <w:p>
      <w:pPr>
        <w:pStyle w:val="ListBullet"/>
        <w:spacing w:after="40"/>
      </w:pPr>
      <w:r>
        <w:rPr>
          <w:b/>
          <w:sz w:val="21"/>
        </w:rPr>
        <w:t xml:space="preserve">Escalate when: </w:t>
      </w:r>
      <w:r>
        <w:rPr>
          <w:sz w:val="21"/>
        </w:rPr>
        <w:t>Completed DocV not visible on the application; confirmed defect after checks.</w:t>
      </w:r>
    </w:p>
    <w:p>
      <w:pPr>
        <w:spacing w:before="160" w:after="40"/>
      </w:pPr>
      <w:r>
        <w:rPr>
          <w:b/>
          <w:color w:val="F26522"/>
          <w:sz w:val="24"/>
        </w:rPr>
        <w:t>3.2 Result / risk code / refer-reason questions</w:t>
      </w:r>
    </w:p>
    <w:p>
      <w:pPr>
        <w:pStyle w:val="ListBullet"/>
        <w:spacing w:after="40"/>
      </w:pPr>
      <w:r>
        <w:rPr>
          <w:b/>
          <w:sz w:val="21"/>
        </w:rPr>
        <w:t xml:space="preserve">Resolution: </w:t>
      </w:r>
      <w:r>
        <w:rPr>
          <w:sz w:val="21"/>
        </w:rPr>
        <w:t>'Why did this get this decision/code?' Use the code reference (Section 4) + Explainability; review the Decision Engine logic that was live at the time.</w:t>
      </w:r>
    </w:p>
    <w:p>
      <w:pPr>
        <w:pStyle w:val="ListBullet"/>
        <w:spacing w:after="40"/>
      </w:pPr>
      <w:r>
        <w:rPr>
          <w:b/>
          <w:sz w:val="21"/>
        </w:rPr>
        <w:t xml:space="preserve">Common: </w:t>
      </w:r>
      <w:r>
        <w:rPr>
          <w:sz w:val="21"/>
        </w:rPr>
        <w:t>Field-match questions (e.g., 'why did a fuzzy SSN/DOB come back 0.99?') are usually a Verify tolerance setting (exact vs. partial vs. fuzzy / DOB radius) the customer configured.</w:t>
      </w:r>
    </w:p>
    <w:p>
      <w:pPr>
        <w:spacing w:before="160" w:after="40"/>
      </w:pPr>
      <w:r>
        <w:rPr>
          <w:b/>
          <w:color w:val="F26522"/>
          <w:sz w:val="24"/>
        </w:rPr>
        <w:t>3.3 Testing / sandbox / simulation</w:t>
      </w:r>
    </w:p>
    <w:p>
      <w:pPr>
        <w:pStyle w:val="ListBullet"/>
        <w:spacing w:after="40"/>
      </w:pPr>
      <w:r>
        <w:rPr>
          <w:b/>
          <w:sz w:val="21"/>
        </w:rPr>
        <w:t xml:space="preserve">Resolution: </w:t>
      </w:r>
      <w:r>
        <w:rPr>
          <w:sz w:val="21"/>
        </w:rPr>
        <w:t>Confirm live vs. sandbox first; guide through requesting/reviewing simulated results and expected outcomes; set expectations on environment differences.</w:t>
      </w:r>
    </w:p>
    <w:p>
      <w:pPr>
        <w:spacing w:before="160" w:after="40"/>
      </w:pPr>
      <w:r>
        <w:rPr>
          <w:b/>
          <w:color w:val="F26522"/>
          <w:sz w:val="24"/>
        </w:rPr>
        <w:t>3.4 Integration / transmission / automation</w:t>
      </w:r>
    </w:p>
    <w:p>
      <w:pPr>
        <w:pStyle w:val="ListBullet"/>
        <w:spacing w:after="40"/>
      </w:pPr>
      <w:r>
        <w:rPr>
          <w:b/>
          <w:sz w:val="21"/>
        </w:rPr>
        <w:t xml:space="preserve">Resolution: </w:t>
      </w:r>
      <w:r>
        <w:rPr>
          <w:sz w:val="21"/>
        </w:rPr>
        <w:t>Results not transmitting, webhook failures, dashboard access errors, alerts not firing. Work the checklist: accounts, endpoints, credentials, permissions, alerts. Collect logs before escalating.</w:t>
      </w:r>
    </w:p>
    <w:p>
      <w:pPr>
        <w:spacing w:before="160" w:after="40"/>
      </w:pPr>
      <w:r>
        <w:rPr>
          <w:b/>
          <w:color w:val="F26522"/>
          <w:sz w:val="24"/>
        </w:rPr>
        <w:t>3.5 Transaction errors &amp; edge cases</w:t>
      </w:r>
    </w:p>
    <w:p>
      <w:pPr>
        <w:pStyle w:val="ListBullet"/>
        <w:spacing w:after="40"/>
      </w:pPr>
      <w:r>
        <w:rPr>
          <w:b/>
          <w:sz w:val="21"/>
        </w:rPr>
        <w:t xml:space="preserve">Resolution: </w:t>
      </w:r>
      <w:r>
        <w:rPr>
          <w:sz w:val="21"/>
        </w:rPr>
        <w:t>Decisioning mismatches, fraud scenarios, threshold logic, OFAC/regulatory false positives. Check input data (SSN/DOB), reporting, then the decision engine. Capture the Socure Reference ID.</w:t>
      </w:r>
    </w:p>
    <w:p>
      <w:pPr>
        <w:spacing w:before="240" w:after="80"/>
      </w:pPr>
      <w:r>
        <w:rPr>
          <w:b/>
          <w:color w:val="D6480B"/>
          <w:sz w:val="30"/>
        </w:rPr>
        <w:t>4. Reason / Reject Code Quick Reference</w:t>
      </w:r>
    </w:p>
    <w:p>
      <w:pPr>
        <w:spacing w:after="80"/>
      </w:pPr>
      <w:r>
        <w:rPr>
          <w:b w:val="0"/>
          <w:i/>
          <w:color w:val="5A5A5A"/>
          <w:sz w:val="21"/>
        </w:rPr>
        <w:t>Plain-language definitions for the codes seen most often. Exact code-to-action mapping depends on the customer's configured decision logic – confirm in the dashboard. Keep this table living as new codes appear.</w:t>
      </w:r>
    </w:p>
    <w:tbl>
      <w:tblPr>
        <w:tblStyle w:val="TableGrid"/>
        <w:tblW w:type="auto" w:w="0"/>
        <w:jc w:val="left"/>
        <w:tblLook w:firstColumn="1" w:firstRow="1" w:lastColumn="0" w:lastRow="0" w:noHBand="0" w:noVBand="1" w:val="04A0"/>
      </w:tblPr>
      <w:tblGrid>
        <w:gridCol w:w="3312"/>
        <w:gridCol w:w="3312"/>
        <w:gridCol w:w="3312"/>
      </w:tblGrid>
      <w:tr>
        <w:tc>
          <w:tcPr>
            <w:tcW w:type="dxa" w:w="2448"/>
            <w:shd w:val="clear" w:color="auto" w:fill="D6480B"/>
          </w:tcPr>
          <w:p>
            <w:r>
              <w:rPr>
                <w:b/>
                <w:color w:val="FFFFFF"/>
                <w:sz w:val="20"/>
              </w:rPr>
              <w:t>Code</w:t>
            </w:r>
          </w:p>
        </w:tc>
        <w:tc>
          <w:tcPr>
            <w:tcW w:type="dxa" w:w="5472"/>
            <w:shd w:val="clear" w:color="auto" w:fill="D6480B"/>
          </w:tcPr>
          <w:p>
            <w:r>
              <w:rPr>
                <w:b/>
                <w:color w:val="FFFFFF"/>
                <w:sz w:val="20"/>
              </w:rPr>
              <w:t>Meaning</w:t>
            </w:r>
          </w:p>
        </w:tc>
        <w:tc>
          <w:tcPr>
            <w:tcW w:type="dxa" w:w="2160"/>
            <w:shd w:val="clear" w:color="auto" w:fill="D6480B"/>
          </w:tcPr>
          <w:p>
            <w:r>
              <w:rPr>
                <w:b/>
                <w:color w:val="FFFFFF"/>
                <w:sz w:val="20"/>
              </w:rPr>
              <w:t>Handle vs. escalate</w:t>
            </w:r>
          </w:p>
        </w:tc>
      </w:tr>
      <w:tr>
        <w:tc>
          <w:tcPr>
            <w:tcW w:type="dxa" w:w="2448"/>
          </w:tcPr>
          <w:p>
            <w:r>
              <w:rPr>
                <w:sz w:val="19"/>
              </w:rPr>
              <w:t>I-196</w:t>
            </w:r>
          </w:p>
        </w:tc>
        <w:tc>
          <w:tcPr>
            <w:tcW w:type="dxa" w:w="5472"/>
          </w:tcPr>
          <w:p>
            <w:r>
              <w:rPr>
                <w:sz w:val="19"/>
              </w:rPr>
              <w:t>Informational – no watchlist hit (PII not corroborated against any source list)</w:t>
            </w:r>
          </w:p>
        </w:tc>
        <w:tc>
          <w:tcPr>
            <w:tcW w:type="dxa" w:w="2160"/>
          </w:tcPr>
          <w:p>
            <w:r>
              <w:rPr>
                <w:sz w:val="19"/>
              </w:rPr>
              <w:t>Handle (explain)</w:t>
            </w:r>
          </w:p>
        </w:tc>
      </w:tr>
      <w:tr>
        <w:tc>
          <w:tcPr>
            <w:tcW w:type="dxa" w:w="2448"/>
            <w:shd w:val="clear" w:color="auto" w:fill="FDEBE0"/>
          </w:tcPr>
          <w:p>
            <w:r>
              <w:rPr>
                <w:sz w:val="19"/>
              </w:rPr>
              <w:t>R-186</w:t>
            </w:r>
          </w:p>
        </w:tc>
        <w:tc>
          <w:tcPr>
            <w:tcW w:type="dxa" w:w="5472"/>
            <w:shd w:val="clear" w:color="auto" w:fill="FDEBE0"/>
          </w:tcPr>
          <w:p>
            <w:r>
              <w:rPr>
                <w:sz w:val="19"/>
              </w:rPr>
              <w:t>Umbrella risk code – a watchlist source-list match occurred (granular sub-codes follow: PEP, sanctions OFAC, sanctions non-OFAC)</w:t>
            </w:r>
          </w:p>
        </w:tc>
        <w:tc>
          <w:tcPr>
            <w:tcW w:type="dxa" w:w="2160"/>
            <w:shd w:val="clear" w:color="auto" w:fill="FDEBE0"/>
          </w:tcPr>
          <w:p>
            <w:r>
              <w:rPr>
                <w:sz w:val="19"/>
              </w:rPr>
              <w:t>Handle (explain)</w:t>
            </w:r>
          </w:p>
        </w:tc>
      </w:tr>
      <w:tr>
        <w:tc>
          <w:tcPr>
            <w:tcW w:type="dxa" w:w="2448"/>
          </w:tcPr>
          <w:p>
            <w:r>
              <w:rPr>
                <w:sz w:val="19"/>
              </w:rPr>
              <w:t>R208 / R561 / R582</w:t>
            </w:r>
          </w:p>
        </w:tc>
        <w:tc>
          <w:tcPr>
            <w:tcW w:type="dxa" w:w="5472"/>
          </w:tcPr>
          <w:p>
            <w:r>
              <w:rPr>
                <w:sz w:val="19"/>
              </w:rPr>
              <w:t>Fraud risk indicators feeding refer / step-up logic; interpret with other signals &amp; thresholds</w:t>
            </w:r>
          </w:p>
        </w:tc>
        <w:tc>
          <w:tcPr>
            <w:tcW w:type="dxa" w:w="2160"/>
          </w:tcPr>
          <w:p>
            <w:r>
              <w:rPr>
                <w:sz w:val="19"/>
              </w:rPr>
              <w:t>Handle (explain); escalate logic tuning</w:t>
            </w:r>
          </w:p>
        </w:tc>
      </w:tr>
      <w:tr>
        <w:tc>
          <w:tcPr>
            <w:tcW w:type="dxa" w:w="2448"/>
            <w:shd w:val="clear" w:color="auto" w:fill="FDEBE0"/>
          </w:tcPr>
          <w:p>
            <w:r>
              <w:rPr>
                <w:sz w:val="19"/>
              </w:rPr>
              <w:t>R579 / R909 / R824 / R964</w:t>
            </w:r>
          </w:p>
        </w:tc>
        <w:tc>
          <w:tcPr>
            <w:tcW w:type="dxa" w:w="5472"/>
            <w:shd w:val="clear" w:color="auto" w:fill="FDEBE0"/>
          </w:tcPr>
          <w:p>
            <w:r>
              <w:rPr>
                <w:sz w:val="19"/>
              </w:rPr>
              <w:t>Reject / refer reason codes – provide definition and the rule/workflow that produced them</w:t>
            </w:r>
          </w:p>
        </w:tc>
        <w:tc>
          <w:tcPr>
            <w:tcW w:type="dxa" w:w="2160"/>
            <w:shd w:val="clear" w:color="auto" w:fill="FDEBE0"/>
          </w:tcPr>
          <w:p>
            <w:r>
              <w:rPr>
                <w:sz w:val="19"/>
              </w:rPr>
              <w:t>Handle (explain)</w:t>
            </w:r>
          </w:p>
        </w:tc>
      </w:tr>
      <w:tr>
        <w:tc>
          <w:tcPr>
            <w:tcW w:type="dxa" w:w="2448"/>
          </w:tcPr>
          <w:p>
            <w:r>
              <w:rPr>
                <w:sz w:val="19"/>
              </w:rPr>
              <w:t>R-prefix (general)</w:t>
            </w:r>
          </w:p>
        </w:tc>
        <w:tc>
          <w:tcPr>
            <w:tcW w:type="dxa" w:w="5472"/>
          </w:tcPr>
          <w:p>
            <w:r>
              <w:rPr>
                <w:sz w:val="19"/>
              </w:rPr>
              <w:t>Risk code – a signal of potential risk (not proof of fraud)</w:t>
            </w:r>
          </w:p>
        </w:tc>
        <w:tc>
          <w:tcPr>
            <w:tcW w:type="dxa" w:w="2160"/>
          </w:tcPr>
          <w:p>
            <w:r>
              <w:rPr>
                <w:sz w:val="19"/>
              </w:rPr>
              <w:t>Handle (explain)</w:t>
            </w:r>
          </w:p>
        </w:tc>
      </w:tr>
      <w:tr>
        <w:tc>
          <w:tcPr>
            <w:tcW w:type="dxa" w:w="2448"/>
            <w:shd w:val="clear" w:color="auto" w:fill="FDEBE0"/>
          </w:tcPr>
          <w:p>
            <w:r>
              <w:rPr>
                <w:sz w:val="19"/>
              </w:rPr>
              <w:t>I-prefix (general)</w:t>
            </w:r>
          </w:p>
        </w:tc>
        <w:tc>
          <w:tcPr>
            <w:tcW w:type="dxa" w:w="5472"/>
            <w:shd w:val="clear" w:color="auto" w:fill="FDEBE0"/>
          </w:tcPr>
          <w:p>
            <w:r>
              <w:rPr>
                <w:sz w:val="19"/>
              </w:rPr>
              <w:t>Informational code – positive or neutral signal</w:t>
            </w:r>
          </w:p>
        </w:tc>
        <w:tc>
          <w:tcPr>
            <w:tcW w:type="dxa" w:w="2160"/>
            <w:shd w:val="clear" w:color="auto" w:fill="FDEBE0"/>
          </w:tcPr>
          <w:p>
            <w:r>
              <w:rPr>
                <w:sz w:val="19"/>
              </w:rPr>
              <w:t>Handle (explain)</w:t>
            </w:r>
          </w:p>
        </w:tc>
      </w:tr>
    </w:tbl>
    <w:p>
      <w:pPr>
        <w:spacing w:after="40"/>
      </w:pPr>
    </w:p>
    <w:p>
      <w:pPr>
        <w:spacing w:before="240" w:after="80"/>
      </w:pPr>
      <w:r>
        <w:rPr>
          <w:b/>
          <w:color w:val="D6480B"/>
          <w:sz w:val="30"/>
        </w:rPr>
        <w:t>5. Frequently Asked Questions</w:t>
      </w:r>
    </w:p>
    <w:p>
      <w:pPr>
        <w:spacing w:after="0"/>
      </w:pPr>
      <w:r>
        <w:rPr>
          <w:b/>
          <w:color w:val="F26522"/>
          <w:sz w:val="21"/>
        </w:rPr>
        <w:t>Q: A customer says an applicant was deceased but Socure didn't flag it – what do we do?</w:t>
      </w:r>
    </w:p>
    <w:p>
      <w:pPr>
        <w:spacing w:after="120"/>
      </w:pPr>
      <w:r>
        <w:rPr>
          <w:b w:val="0"/>
          <w:i w:val="0"/>
          <w:color w:val="1B1B1B"/>
          <w:sz w:val="21"/>
        </w:rPr>
        <w:t>A: Send it to Socure support with the transaction (Reference) ID and any corroboration of how the institution knew the person was deceased (another solution, obituary, etc.). Socure can update data sources or flag a false positive after confirming.</w:t>
      </w:r>
    </w:p>
    <w:p>
      <w:pPr>
        <w:spacing w:after="0"/>
      </w:pPr>
      <w:r>
        <w:rPr>
          <w:b/>
          <w:color w:val="F26522"/>
          <w:sz w:val="21"/>
        </w:rPr>
        <w:t>Q: An account was opened that the real person says they didn't open (confirmed third-party fraud got through) – settings to help?</w:t>
      </w:r>
    </w:p>
    <w:p>
      <w:pPr>
        <w:spacing w:after="120"/>
      </w:pPr>
      <w:r>
        <w:rPr>
          <w:b w:val="0"/>
          <w:i w:val="0"/>
          <w:color w:val="1B1B1B"/>
          <w:sz w:val="21"/>
        </w:rPr>
        <w:t>A: Review the transaction: Sigma Identity (stolen identity) score and reason codes, then email/phone/address risk for corroboration (fraudsters often change phone/email/address to take over the account). Any logic change is a customer-owned decision – escalate as a deep logic exercise if needed.</w:t>
      </w:r>
    </w:p>
    <w:p>
      <w:pPr>
        <w:spacing w:after="0"/>
      </w:pPr>
      <w:r>
        <w:rPr>
          <w:b/>
          <w:color w:val="F26522"/>
          <w:sz w:val="21"/>
        </w:rPr>
        <w:t>Q: Can we skip DocV / refer for employees or use an allow list?</w:t>
      </w:r>
    </w:p>
    <w:p>
      <w:pPr>
        <w:spacing w:after="120"/>
      </w:pPr>
      <w:r>
        <w:rPr>
          <w:b w:val="0"/>
          <w:i w:val="0"/>
          <w:color w:val="1B1B1B"/>
          <w:sz w:val="21"/>
        </w:rPr>
        <w:t>A: Not supported in today's integration – you can only decision off scores and reason codes, not custom allow lists. May change with RiskOS.</w:t>
      </w:r>
    </w:p>
    <w:p>
      <w:pPr>
        <w:spacing w:after="0"/>
      </w:pPr>
      <w:r>
        <w:rPr>
          <w:b/>
          <w:color w:val="F26522"/>
          <w:sz w:val="21"/>
        </w:rPr>
        <w:t>Q: Can DocV run automatically on ALL applications, not just referred ones?</w:t>
      </w:r>
    </w:p>
    <w:p>
      <w:pPr>
        <w:spacing w:after="120"/>
      </w:pPr>
      <w:r>
        <w:rPr>
          <w:b w:val="0"/>
          <w:i w:val="0"/>
          <w:color w:val="1B1B1B"/>
          <w:sz w:val="21"/>
        </w:rPr>
        <w:t>A: DocV only fires off a 'refer.' To send everyone to DocV you set the fraud score threshold to its lowest value (0.001) so all transactions refer. Note the caveat: every transaction will then show 'referred due to Sigma identity,' and reject still takes precedence.</w:t>
      </w:r>
    </w:p>
    <w:p>
      <w:pPr>
        <w:spacing w:after="0"/>
      </w:pPr>
      <w:r>
        <w:rPr>
          <w:b/>
          <w:color w:val="F26522"/>
          <w:sz w:val="21"/>
        </w:rPr>
        <w:t>Q: Can DocV require the selfie to include clothing / detect sunglasses, etc.?</w:t>
      </w:r>
    </w:p>
    <w:p>
      <w:pPr>
        <w:spacing w:after="120"/>
      </w:pPr>
      <w:r>
        <w:rPr>
          <w:b w:val="0"/>
          <w:i w:val="0"/>
          <w:color w:val="1B1B1B"/>
          <w:sz w:val="21"/>
        </w:rPr>
        <w:t>A: Not today – the selfie checks biometric match to the document and liveness. More raw-signal configurability is planned (Q3).</w:t>
      </w:r>
    </w:p>
    <w:p>
      <w:pPr>
        <w:spacing w:after="0"/>
      </w:pPr>
      <w:r>
        <w:rPr>
          <w:b/>
          <w:color w:val="F26522"/>
          <w:sz w:val="21"/>
        </w:rPr>
        <w:t>Q: A customer wants the developer role / to enable alert lists / dashboard permission changes – allowed?</w:t>
      </w:r>
    </w:p>
    <w:p>
      <w:pPr>
        <w:spacing w:after="120"/>
      </w:pPr>
      <w:r>
        <w:rPr>
          <w:b w:val="0"/>
          <w:i w:val="0"/>
          <w:color w:val="1B1B1B"/>
          <w:sz w:val="21"/>
        </w:rPr>
        <w:t>A: Route to the Account Executive; these are configurations on Socure's side and are escalated up to Matt Green. The standard roles are designed for the intended use.</w:t>
      </w:r>
    </w:p>
    <w:p>
      <w:pPr>
        <w:spacing w:after="0"/>
      </w:pPr>
      <w:r>
        <w:rPr>
          <w:b/>
          <w:color w:val="F26522"/>
          <w:sz w:val="21"/>
        </w:rPr>
        <w:t>Q: A customer wants a product MeridianLink doesn't resell (adverse media, first-party fraud, graph, eCBSV) – how do we handle?</w:t>
      </w:r>
    </w:p>
    <w:p>
      <w:pPr>
        <w:spacing w:after="120"/>
      </w:pPr>
      <w:r>
        <w:rPr>
          <w:b w:val="0"/>
          <w:i w:val="0"/>
          <w:color w:val="1B1B1B"/>
          <w:sz w:val="21"/>
        </w:rPr>
        <w:t>A: Route to the Account Executive – it's outside the current integration, not a support escalation.</w:t>
      </w:r>
    </w:p>
    <w:p>
      <w:pPr>
        <w:spacing w:after="0"/>
      </w:pPr>
      <w:r>
        <w:rPr>
          <w:b/>
          <w:color w:val="F26522"/>
          <w:sz w:val="21"/>
        </w:rPr>
        <w:t>Q: Why did a fuzzy/partial SSN or DOB come back as a 0.99 match?</w:t>
      </w:r>
    </w:p>
    <w:p>
      <w:pPr>
        <w:spacing w:after="120"/>
      </w:pPr>
      <w:r>
        <w:rPr>
          <w:b w:val="0"/>
          <w:i w:val="0"/>
          <w:color w:val="1B1B1B"/>
          <w:sz w:val="21"/>
        </w:rPr>
        <w:t>A: Because the customer's Verify tolerance allows it (partial = single digit/transposition; fuzzy = up to two digits; DOB radius). To require exact matches they change the Verify setting.</w:t>
      </w:r>
    </w:p>
    <w:p>
      <w:pPr>
        <w:spacing w:after="0"/>
      </w:pPr>
      <w:r>
        <w:rPr>
          <w:b/>
          <w:color w:val="F26522"/>
          <w:sz w:val="21"/>
        </w:rPr>
        <w:t>Q: A customer has lots of false-positive watchlist hits – what can help?</w:t>
      </w:r>
    </w:p>
    <w:p>
      <w:pPr>
        <w:spacing w:after="120"/>
      </w:pPr>
      <w:r>
        <w:rPr>
          <w:b w:val="0"/>
          <w:i w:val="0"/>
          <w:color w:val="1B1B1B"/>
          <w:sz w:val="21"/>
        </w:rPr>
        <w:t>A: Point to false-positive reduction settings: name-match &amp; entity-correlation thresholds, requiring a DOB match, entity type (screen individuals only), country filters, suppressing PEPs without URLs.</w:t>
      </w:r>
    </w:p>
    <w:p>
      <w:pPr>
        <w:spacing w:after="0"/>
      </w:pPr>
      <w:r>
        <w:rPr>
          <w:b/>
          <w:color w:val="F26522"/>
          <w:sz w:val="21"/>
        </w:rPr>
        <w:t>Q: How do we identify a transaction when escalating?</w:t>
      </w:r>
    </w:p>
    <w:p>
      <w:pPr>
        <w:spacing w:after="120"/>
      </w:pPr>
      <w:r>
        <w:rPr>
          <w:b w:val="0"/>
          <w:i w:val="0"/>
          <w:color w:val="1B1B1B"/>
          <w:sz w:val="21"/>
        </w:rPr>
        <w:t>A: Always use the Socure Reference ID – Socure keys off it and does not return PII. MeridianLink Insights can map your app ID to the Socure Reference ID.</w:t>
      </w:r>
    </w:p>
    <w:p>
      <w:pPr>
        <w:spacing w:before="240" w:after="80"/>
      </w:pPr>
      <w:r>
        <w:rPr>
          <w:b/>
          <w:color w:val="D6480B"/>
          <w:sz w:val="30"/>
        </w:rPr>
        <w:t>6. Known Systemic Issues (Watch List)</w:t>
      </w:r>
    </w:p>
    <w:tbl>
      <w:tblPr>
        <w:tblStyle w:val="TableGrid"/>
        <w:tblW w:type="auto" w:w="0"/>
        <w:jc w:val="left"/>
        <w:tblLook w:firstColumn="1" w:firstRow="1" w:lastColumn="0" w:lastRow="0" w:noHBand="0" w:noVBand="1" w:val="04A0"/>
      </w:tblPr>
      <w:tblGrid>
        <w:gridCol w:w="2484"/>
        <w:gridCol w:w="2484"/>
        <w:gridCol w:w="2484"/>
        <w:gridCol w:w="2484"/>
      </w:tblGrid>
      <w:tr>
        <w:tc>
          <w:tcPr>
            <w:tcW w:type="dxa" w:w="2448"/>
            <w:shd w:val="clear" w:color="auto" w:fill="D6480B"/>
          </w:tcPr>
          <w:p>
            <w:r>
              <w:rPr>
                <w:b/>
                <w:color w:val="FFFFFF"/>
                <w:sz w:val="20"/>
              </w:rPr>
              <w:t>Issue</w:t>
            </w:r>
          </w:p>
        </w:tc>
        <w:tc>
          <w:tcPr>
            <w:tcW w:type="dxa" w:w="3456"/>
            <w:shd w:val="clear" w:color="auto" w:fill="D6480B"/>
          </w:tcPr>
          <w:p>
            <w:r>
              <w:rPr>
                <w:b/>
                <w:color w:val="FFFFFF"/>
                <w:sz w:val="20"/>
              </w:rPr>
              <w:t>Symptom</w:t>
            </w:r>
          </w:p>
        </w:tc>
        <w:tc>
          <w:tcPr>
            <w:tcW w:type="dxa" w:w="2880"/>
            <w:shd w:val="clear" w:color="auto" w:fill="D6480B"/>
          </w:tcPr>
          <w:p>
            <w:r>
              <w:rPr>
                <w:b/>
                <w:color w:val="FFFFFF"/>
                <w:sz w:val="20"/>
              </w:rPr>
              <w:t>First response</w:t>
            </w:r>
          </w:p>
        </w:tc>
        <w:tc>
          <w:tcPr>
            <w:tcW w:type="dxa" w:w="1872"/>
            <w:shd w:val="clear" w:color="auto" w:fill="D6480B"/>
          </w:tcPr>
          <w:p>
            <w:r>
              <w:rPr>
                <w:b/>
                <w:color w:val="FFFFFF"/>
                <w:sz w:val="20"/>
              </w:rPr>
              <w:t>Owner</w:t>
            </w:r>
          </w:p>
        </w:tc>
      </w:tr>
      <w:tr>
        <w:tc>
          <w:tcPr>
            <w:tcW w:type="dxa" w:w="2448"/>
          </w:tcPr>
          <w:p>
            <w:r>
              <w:rPr>
                <w:sz w:val="19"/>
              </w:rPr>
              <w:t>Combo app result placement</w:t>
            </w:r>
          </w:p>
        </w:tc>
        <w:tc>
          <w:tcPr>
            <w:tcW w:type="dxa" w:w="3456"/>
          </w:tcPr>
          <w:p>
            <w:r>
              <w:rPr>
                <w:sz w:val="19"/>
              </w:rPr>
              <w:t>Socure results appear only on loan side of combo apps</w:t>
            </w:r>
          </w:p>
        </w:tc>
        <w:tc>
          <w:tcPr>
            <w:tcW w:type="dxa" w:w="2880"/>
          </w:tcPr>
          <w:p>
            <w:r>
              <w:rPr>
                <w:sz w:val="19"/>
              </w:rPr>
              <w:t>Confirm app type + Reference ID; check both sides</w:t>
            </w:r>
          </w:p>
        </w:tc>
        <w:tc>
          <w:tcPr>
            <w:tcW w:type="dxa" w:w="1872"/>
          </w:tcPr>
          <w:p>
            <w:r>
              <w:rPr>
                <w:sz w:val="19"/>
              </w:rPr>
              <w:t>Escalate (integration)</w:t>
            </w:r>
          </w:p>
        </w:tc>
      </w:tr>
      <w:tr>
        <w:tc>
          <w:tcPr>
            <w:tcW w:type="dxa" w:w="2448"/>
            <w:shd w:val="clear" w:color="auto" w:fill="FDEBE0"/>
          </w:tcPr>
          <w:p>
            <w:r>
              <w:rPr>
                <w:sz w:val="19"/>
              </w:rPr>
              <w:t>Credit report auto-run</w:t>
            </w:r>
          </w:p>
        </w:tc>
        <w:tc>
          <w:tcPr>
            <w:tcW w:type="dxa" w:w="3456"/>
            <w:shd w:val="clear" w:color="auto" w:fill="FDEBE0"/>
          </w:tcPr>
          <w:p>
            <w:r>
              <w:rPr>
                <w:sz w:val="19"/>
              </w:rPr>
              <w:t>Credit reports fail to auto-run post-implementation; auto-decisioning disabled</w:t>
            </w:r>
          </w:p>
        </w:tc>
        <w:tc>
          <w:tcPr>
            <w:tcW w:type="dxa" w:w="2880"/>
            <w:shd w:val="clear" w:color="auto" w:fill="FDEBE0"/>
          </w:tcPr>
          <w:p>
            <w:r>
              <w:rPr>
                <w:sz w:val="19"/>
              </w:rPr>
              <w:t>Verify workflow config; document impacted apps</w:t>
            </w:r>
          </w:p>
        </w:tc>
        <w:tc>
          <w:tcPr>
            <w:tcW w:type="dxa" w:w="1872"/>
            <w:shd w:val="clear" w:color="auto" w:fill="FDEBE0"/>
          </w:tcPr>
          <w:p>
            <w:r>
              <w:rPr>
                <w:sz w:val="19"/>
              </w:rPr>
              <w:t>Escalate (integration)</w:t>
            </w:r>
          </w:p>
        </w:tc>
      </w:tr>
      <w:tr>
        <w:tc>
          <w:tcPr>
            <w:tcW w:type="dxa" w:w="2448"/>
          </w:tcPr>
          <w:p>
            <w:r>
              <w:rPr>
                <w:sz w:val="19"/>
              </w:rPr>
              <w:t>DocV visibility</w:t>
            </w:r>
          </w:p>
        </w:tc>
        <w:tc>
          <w:tcPr>
            <w:tcW w:type="dxa" w:w="3456"/>
          </w:tcPr>
          <w:p>
            <w:r>
              <w:rPr>
                <w:sz w:val="19"/>
              </w:rPr>
              <w:t>Completed DocV result not appearing on application</w:t>
            </w:r>
          </w:p>
        </w:tc>
        <w:tc>
          <w:tcPr>
            <w:tcW w:type="dxa" w:w="2880"/>
          </w:tcPr>
          <w:p>
            <w:r>
              <w:rPr>
                <w:sz w:val="19"/>
              </w:rPr>
              <w:t>Confirm DocV completed; screenshots + Reference ID</w:t>
            </w:r>
          </w:p>
        </w:tc>
        <w:tc>
          <w:tcPr>
            <w:tcW w:type="dxa" w:w="1872"/>
          </w:tcPr>
          <w:p>
            <w:r>
              <w:rPr>
                <w:sz w:val="19"/>
              </w:rPr>
              <w:t>Escalate (integration)</w:t>
            </w:r>
          </w:p>
        </w:tc>
      </w:tr>
      <w:tr>
        <w:tc>
          <w:tcPr>
            <w:tcW w:type="dxa" w:w="2448"/>
            <w:shd w:val="clear" w:color="auto" w:fill="FDEBE0"/>
          </w:tcPr>
          <w:p>
            <w:r>
              <w:rPr>
                <w:sz w:val="19"/>
              </w:rPr>
              <w:t>DocV 'spinning' / load</w:t>
            </w:r>
          </w:p>
        </w:tc>
        <w:tc>
          <w:tcPr>
            <w:tcW w:type="dxa" w:w="3456"/>
            <w:shd w:val="clear" w:color="auto" w:fill="FDEBE0"/>
          </w:tcPr>
          <w:p>
            <w:r>
              <w:rPr>
                <w:sz w:val="19"/>
              </w:rPr>
              <w:t>Applicants report DocV page keeps loading after refer</w:t>
            </w:r>
          </w:p>
        </w:tc>
        <w:tc>
          <w:tcPr>
            <w:tcW w:type="dxa" w:w="2880"/>
            <w:shd w:val="clear" w:color="auto" w:fill="FDEBE0"/>
          </w:tcPr>
          <w:p>
            <w:r>
              <w:rPr>
                <w:sz w:val="19"/>
              </w:rPr>
              <w:t>Check SDK init; usually applicant internet / one-off</w:t>
            </w:r>
          </w:p>
        </w:tc>
        <w:tc>
          <w:tcPr>
            <w:tcW w:type="dxa" w:w="1872"/>
            <w:shd w:val="clear" w:color="auto" w:fill="FDEBE0"/>
          </w:tcPr>
          <w:p>
            <w:r>
              <w:rPr>
                <w:sz w:val="19"/>
              </w:rPr>
              <w:t>MeridianLink engineering</w:t>
            </w:r>
          </w:p>
        </w:tc>
      </w:tr>
      <w:tr>
        <w:tc>
          <w:tcPr>
            <w:tcW w:type="dxa" w:w="2448"/>
          </w:tcPr>
          <w:p>
            <w:r>
              <w:rPr>
                <w:sz w:val="19"/>
              </w:rPr>
              <w:t>False positives/negatives</w:t>
            </w:r>
          </w:p>
        </w:tc>
        <w:tc>
          <w:tcPr>
            <w:tcW w:type="dxa" w:w="3456"/>
          </w:tcPr>
          <w:p>
            <w:r>
              <w:rPr>
                <w:sz w:val="19"/>
              </w:rPr>
              <w:t>e.g., deceased flagged or missed</w:t>
            </w:r>
          </w:p>
        </w:tc>
        <w:tc>
          <w:tcPr>
            <w:tcW w:type="dxa" w:w="2880"/>
          </w:tcPr>
          <w:p>
            <w:r>
              <w:rPr>
                <w:sz w:val="19"/>
              </w:rPr>
              <w:t>Explain signals/codes; gather corroboration</w:t>
            </w:r>
          </w:p>
        </w:tc>
        <w:tc>
          <w:tcPr>
            <w:tcW w:type="dxa" w:w="1872"/>
          </w:tcPr>
          <w:p>
            <w:r>
              <w:rPr>
                <w:sz w:val="19"/>
              </w:rPr>
              <w:t>Socure support / SME</w:t>
            </w:r>
          </w:p>
        </w:tc>
      </w:tr>
    </w:tbl>
    <w:p>
      <w:pPr>
        <w:spacing w:after="40"/>
      </w:pPr>
    </w:p>
    <w:p>
      <w:pPr>
        <w:spacing w:before="240" w:after="80"/>
      </w:pPr>
      <w:r>
        <w:rPr>
          <w:b/>
          <w:color w:val="D6480B"/>
          <w:sz w:val="30"/>
        </w:rPr>
        <w:t>7. Escalation Process</w:t>
      </w:r>
    </w:p>
    <w:p>
      <w:pPr>
        <w:spacing w:before="160" w:after="40"/>
      </w:pPr>
      <w:r>
        <w:rPr>
          <w:b/>
          <w:color w:val="F26522"/>
          <w:sz w:val="24"/>
        </w:rPr>
        <w:t>Roles &amp; responsibilities</w:t>
      </w:r>
    </w:p>
    <w:tbl>
      <w:tblPr>
        <w:tblStyle w:val="TableGrid"/>
        <w:tblW w:type="auto" w:w="0"/>
        <w:jc w:val="left"/>
        <w:tblLook w:firstColumn="1" w:firstRow="1" w:lastColumn="0" w:lastRow="0" w:noHBand="0" w:noVBand="1" w:val="04A0"/>
      </w:tblPr>
      <w:tblGrid>
        <w:gridCol w:w="3312"/>
        <w:gridCol w:w="3312"/>
        <w:gridCol w:w="3312"/>
      </w:tblGrid>
      <w:tr>
        <w:tc>
          <w:tcPr>
            <w:tcW w:type="dxa" w:w="2592"/>
            <w:shd w:val="clear" w:color="auto" w:fill="D6480B"/>
          </w:tcPr>
          <w:p>
            <w:r>
              <w:rPr>
                <w:b/>
                <w:color w:val="FFFFFF"/>
                <w:sz w:val="20"/>
              </w:rPr>
              <w:t>Tier</w:t>
            </w:r>
          </w:p>
        </w:tc>
        <w:tc>
          <w:tcPr>
            <w:tcW w:type="dxa" w:w="3168"/>
            <w:shd w:val="clear" w:color="auto" w:fill="D6480B"/>
          </w:tcPr>
          <w:p>
            <w:r>
              <w:rPr>
                <w:b/>
                <w:color w:val="FFFFFF"/>
                <w:sz w:val="20"/>
              </w:rPr>
              <w:t>Owner</w:t>
            </w:r>
          </w:p>
        </w:tc>
        <w:tc>
          <w:tcPr>
            <w:tcW w:type="dxa" w:w="4320"/>
            <w:shd w:val="clear" w:color="auto" w:fill="D6480B"/>
          </w:tcPr>
          <w:p>
            <w:r>
              <w:rPr>
                <w:b/>
                <w:color w:val="FFFFFF"/>
                <w:sz w:val="20"/>
              </w:rPr>
              <w:t>Responsibility</w:t>
            </w:r>
          </w:p>
        </w:tc>
      </w:tr>
      <w:tr>
        <w:tc>
          <w:tcPr>
            <w:tcW w:type="dxa" w:w="2592"/>
          </w:tcPr>
          <w:p>
            <w:r>
              <w:rPr>
                <w:sz w:val="19"/>
              </w:rPr>
              <w:t>Tier 1 – First response</w:t>
            </w:r>
          </w:p>
        </w:tc>
        <w:tc>
          <w:tcPr>
            <w:tcW w:type="dxa" w:w="3168"/>
          </w:tcPr>
          <w:p>
            <w:r>
              <w:rPr>
                <w:sz w:val="19"/>
              </w:rPr>
              <w:t>MeridianLink Support</w:t>
            </w:r>
          </w:p>
        </w:tc>
        <w:tc>
          <w:tcPr>
            <w:tcW w:type="dxa" w:w="4320"/>
          </w:tcPr>
          <w:p>
            <w:r>
              <w:rPr>
                <w:sz w:val="19"/>
              </w:rPr>
              <w:t>Intake, triage, status checks, code/decision explanations, submission guidance, basic integration verification.</w:t>
            </w:r>
          </w:p>
        </w:tc>
      </w:tr>
      <w:tr>
        <w:tc>
          <w:tcPr>
            <w:tcW w:type="dxa" w:w="2592"/>
            <w:shd w:val="clear" w:color="auto" w:fill="FDEBE0"/>
          </w:tcPr>
          <w:p>
            <w:r>
              <w:rPr>
                <w:sz w:val="19"/>
              </w:rPr>
              <w:t>Tier 2 – Advanced</w:t>
            </w:r>
          </w:p>
        </w:tc>
        <w:tc>
          <w:tcPr>
            <w:tcW w:type="dxa" w:w="3168"/>
            <w:shd w:val="clear" w:color="auto" w:fill="FDEBE0"/>
          </w:tcPr>
          <w:p>
            <w:r>
              <w:rPr>
                <w:sz w:val="19"/>
              </w:rPr>
              <w:t>MeridianLink Support (SME-trained)</w:t>
            </w:r>
          </w:p>
        </w:tc>
        <w:tc>
          <w:tcPr>
            <w:tcW w:type="dxa" w:w="4320"/>
            <w:shd w:val="clear" w:color="auto" w:fill="FDEBE0"/>
          </w:tcPr>
          <w:p>
            <w:r>
              <w:rPr>
                <w:sz w:val="19"/>
              </w:rPr>
              <w:t>Deeper troubleshooting, checklist validation, sandbox/simulation review, edge cases, escalation decision.</w:t>
            </w:r>
          </w:p>
        </w:tc>
      </w:tr>
      <w:tr>
        <w:tc>
          <w:tcPr>
            <w:tcW w:type="dxa" w:w="2592"/>
          </w:tcPr>
          <w:p>
            <w:r>
              <w:rPr>
                <w:sz w:val="19"/>
              </w:rPr>
              <w:t>Tier 3 – Socure SMEs</w:t>
            </w:r>
          </w:p>
        </w:tc>
        <w:tc>
          <w:tcPr>
            <w:tcW w:type="dxa" w:w="3168"/>
          </w:tcPr>
          <w:p>
            <w:r>
              <w:rPr>
                <w:sz w:val="19"/>
              </w:rPr>
              <w:t>Julia Moll-O'Neil &amp; Tyler Joosten</w:t>
            </w:r>
          </w:p>
        </w:tc>
        <w:tc>
          <w:tcPr>
            <w:tcW w:type="dxa" w:w="4320"/>
          </w:tcPr>
          <w:p>
            <w:r>
              <w:rPr>
                <w:sz w:val="19"/>
              </w:rPr>
              <w:t>Complex fraud logic, decisioning/threshold tuning, configuration, confirmed defects.</w:t>
            </w:r>
          </w:p>
        </w:tc>
      </w:tr>
      <w:tr>
        <w:tc>
          <w:tcPr>
            <w:tcW w:type="dxa" w:w="2592"/>
            <w:shd w:val="clear" w:color="auto" w:fill="FDEBE0"/>
          </w:tcPr>
          <w:p>
            <w:r>
              <w:rPr>
                <w:sz w:val="19"/>
              </w:rPr>
              <w:t>Routing partners</w:t>
            </w:r>
          </w:p>
        </w:tc>
        <w:tc>
          <w:tcPr>
            <w:tcW w:type="dxa" w:w="3168"/>
            <w:shd w:val="clear" w:color="auto" w:fill="FDEBE0"/>
          </w:tcPr>
          <w:p>
            <w:r>
              <w:rPr>
                <w:sz w:val="19"/>
              </w:rPr>
              <w:t>Account Executive / Matt Green</w:t>
            </w:r>
          </w:p>
        </w:tc>
        <w:tc>
          <w:tcPr>
            <w:tcW w:type="dxa" w:w="4320"/>
            <w:shd w:val="clear" w:color="auto" w:fill="FDEBE0"/>
          </w:tcPr>
          <w:p>
            <w:r>
              <w:rPr>
                <w:sz w:val="19"/>
              </w:rPr>
              <w:t>AE: product/commercial requests, permissions. Matt Green: deep logic recommendation exercises &amp; dashboard config.</w:t>
            </w:r>
          </w:p>
        </w:tc>
      </w:tr>
    </w:tbl>
    <w:p>
      <w:pPr>
        <w:spacing w:after="40"/>
      </w:pPr>
    </w:p>
    <w:p>
      <w:pPr>
        <w:spacing w:before="160" w:after="40"/>
      </w:pPr>
      <w:r>
        <w:rPr>
          <w:b/>
          <w:color w:val="F26522"/>
          <w:sz w:val="24"/>
        </w:rPr>
        <w:t>Workflow</w:t>
      </w:r>
    </w:p>
    <w:p>
      <w:pPr>
        <w:pStyle w:val="ListNumber"/>
        <w:spacing w:after="40"/>
      </w:pPr>
      <w:r>
        <w:rPr>
          <w:b/>
        </w:rPr>
        <w:t xml:space="preserve">Intake: </w:t>
      </w:r>
      <w:r>
        <w:t>Log the case in the Salesforce portal and complete the Support Intake Template.</w:t>
      </w:r>
    </w:p>
    <w:p>
      <w:pPr>
        <w:pStyle w:val="ListNumber"/>
        <w:spacing w:after="40"/>
      </w:pPr>
      <w:r>
        <w:rPr>
          <w:b/>
        </w:rPr>
        <w:t xml:space="preserve">Triage: </w:t>
      </w:r>
      <w:r>
        <w:t>Classify the issue and check this knowledge base (products, decision logic, codes, FAQs, known issues).</w:t>
      </w:r>
    </w:p>
    <w:p>
      <w:pPr>
        <w:pStyle w:val="ListNumber"/>
        <w:spacing w:after="40"/>
      </w:pPr>
      <w:r>
        <w:rPr>
          <w:b/>
        </w:rPr>
        <w:t xml:space="preserve">Resolve: </w:t>
      </w:r>
      <w:r>
        <w:t>Resolve standard issues using the dashboard, Explainability, and the playbook; document the resolution.</w:t>
      </w:r>
    </w:p>
    <w:p>
      <w:pPr>
        <w:pStyle w:val="ListNumber"/>
        <w:spacing w:after="40"/>
      </w:pPr>
      <w:r>
        <w:rPr>
          <w:b/>
        </w:rPr>
        <w:t xml:space="preserve">Decision gate: </w:t>
      </w:r>
      <w:r>
        <w:t>Apply the When-to-Escalate criteria (Section 8). If standard, keep resolving; if it qualifies, escalate.</w:t>
      </w:r>
    </w:p>
    <w:p>
      <w:pPr>
        <w:pStyle w:val="ListNumber"/>
        <w:spacing w:after="40"/>
      </w:pPr>
      <w:r>
        <w:rPr>
          <w:b/>
        </w:rPr>
        <w:t xml:space="preserve">Escalate: </w:t>
      </w:r>
      <w:r>
        <w:t>Ensure the intake template is complete (Reference IDs, screenshots, logs, current logic) and route to the correct owner.</w:t>
      </w:r>
    </w:p>
    <w:p>
      <w:pPr>
        <w:pStyle w:val="ListNumber"/>
        <w:spacing w:after="40"/>
      </w:pPr>
      <w:r>
        <w:rPr>
          <w:b/>
        </w:rPr>
        <w:t xml:space="preserve">Resolve &amp; capture: </w:t>
      </w:r>
      <w:r>
        <w:t>Socure SME investigates/resolves; capture reusable findings back into this knowledge base.</w:t>
      </w:r>
    </w:p>
    <w:p>
      <w:pPr>
        <w:spacing w:before="240" w:after="80"/>
      </w:pPr>
      <w:r>
        <w:rPr>
          <w:b/>
          <w:color w:val="D6480B"/>
          <w:sz w:val="30"/>
        </w:rPr>
        <w:t>8. When to Escalate (and When NOT to!)</w:t>
      </w:r>
    </w:p>
    <w:p>
      <w:pPr>
        <w:spacing w:after="120"/>
      </w:pPr>
      <w:r>
        <w:rPr>
          <w:b w:val="0"/>
          <w:i/>
          <w:color w:val="5A5A5A"/>
          <w:sz w:val="21"/>
        </w:rPr>
        <w:t>Rule of thumb: if it requires changing how decisions are made or a deep fraud investigation, escalate. If it's explaining, verifying, or guiding within existing configuration – or it's commercial/permissions – MeridianLink owns it or routes it to the AE.</w:t>
      </w:r>
    </w:p>
    <w:tbl>
      <w:tblPr>
        <w:tblStyle w:val="TableGrid"/>
        <w:tblW w:type="auto" w:w="0"/>
        <w:jc w:val="left"/>
        <w:tblLook w:firstColumn="1" w:firstRow="1" w:lastColumn="0" w:lastRow="0" w:noHBand="0" w:noVBand="1" w:val="04A0"/>
      </w:tblPr>
      <w:tblGrid>
        <w:gridCol w:w="4968"/>
        <w:gridCol w:w="4968"/>
      </w:tblGrid>
      <w:tr>
        <w:tc>
          <w:tcPr>
            <w:tcW w:type="dxa" w:w="5040"/>
            <w:shd w:val="clear" w:color="auto" w:fill="D6480B"/>
          </w:tcPr>
          <w:p>
            <w:r>
              <w:rPr>
                <w:b/>
                <w:color w:val="FFFFFF"/>
                <w:sz w:val="22"/>
              </w:rPr>
              <w:t>Escalate to Socure</w:t>
            </w:r>
          </w:p>
        </w:tc>
        <w:tc>
          <w:tcPr>
            <w:tcW w:type="dxa" w:w="5040"/>
            <w:shd w:val="clear" w:color="auto" w:fill="122A4A"/>
          </w:tcPr>
          <w:p>
            <w:r>
              <w:rPr>
                <w:b/>
                <w:color w:val="FFFFFF"/>
                <w:sz w:val="22"/>
              </w:rPr>
              <w:t>Do NOT Escalate</w:t>
            </w:r>
          </w:p>
        </w:tc>
      </w:tr>
      <w:tr>
        <w:tc>
          <w:tcPr>
            <w:tcW w:type="dxa" w:w="5040"/>
            <w:shd w:val="clear" w:color="auto" w:fill="FCE3D5"/>
          </w:tcPr>
          <w:p>
            <w:pPr>
              <w:pStyle w:val="ListBullet"/>
              <w:spacing w:after="60"/>
            </w:pPr>
            <w:r/>
            <w:r>
              <w:rPr>
                <w:sz w:val="19"/>
              </w:rPr>
              <w:t>Transaction deep dive – complex investigation of a specific transaction</w:t>
            </w:r>
          </w:p>
          <w:p>
            <w:pPr>
              <w:pStyle w:val="ListBullet"/>
              <w:spacing w:after="60"/>
            </w:pPr>
            <w:r>
              <w:rPr>
                <w:sz w:val="19"/>
              </w:rPr>
              <w:t>Enhancement / feature requests</w:t>
            </w:r>
          </w:p>
          <w:p>
            <w:pPr>
              <w:pStyle w:val="ListBullet"/>
              <w:spacing w:after="60"/>
            </w:pPr>
            <w:r>
              <w:rPr>
                <w:sz w:val="19"/>
              </w:rPr>
              <w:t>API failures (** sometimes – confirm it isn't environment/integration first)</w:t>
            </w:r>
          </w:p>
          <w:p>
            <w:pPr>
              <w:pStyle w:val="ListBullet"/>
              <w:spacing w:after="60"/>
            </w:pPr>
            <w:r>
              <w:rPr>
                <w:sz w:val="19"/>
              </w:rPr>
              <w:t>Outages or widespread errors</w:t>
            </w:r>
          </w:p>
          <w:p>
            <w:pPr>
              <w:pStyle w:val="ListBullet"/>
              <w:spacing w:after="60"/>
            </w:pPr>
            <w:r>
              <w:rPr>
                <w:sz w:val="19"/>
              </w:rPr>
              <w:t>Deep logic recommendation exercises – route to Socure via Matt Green</w:t>
            </w:r>
          </w:p>
        </w:tc>
        <w:tc>
          <w:tcPr>
            <w:tcW w:type="dxa" w:w="5040"/>
            <w:shd w:val="clear" w:color="auto" w:fill="E2E8F0"/>
          </w:tcPr>
          <w:p>
            <w:pPr>
              <w:pStyle w:val="ListBullet"/>
              <w:spacing w:after="60"/>
            </w:pPr>
            <w:r/>
            <w:r>
              <w:rPr>
                <w:sz w:val="19"/>
              </w:rPr>
              <w:t>“What triggered the decline” – explain via dashboard reason codes &amp; Explainability</w:t>
            </w:r>
          </w:p>
          <w:p>
            <w:pPr>
              <w:pStyle w:val="ListBullet"/>
              <w:spacing w:after="60"/>
            </w:pPr>
            <w:r>
              <w:rPr>
                <w:sz w:val="19"/>
              </w:rPr>
              <w:t>Something is not displaying in MeridianLink but does in Socure – MeridianLink display/integration issue</w:t>
            </w:r>
          </w:p>
          <w:p>
            <w:pPr>
              <w:pStyle w:val="ListBullet"/>
              <w:spacing w:after="60"/>
            </w:pPr>
            <w:r>
              <w:rPr>
                <w:sz w:val="19"/>
              </w:rPr>
              <w:t>Customer wants to add products / commercial questions – route to Account Executive</w:t>
            </w:r>
          </w:p>
          <w:p>
            <w:pPr>
              <w:pStyle w:val="ListBullet"/>
              <w:spacing w:after="60"/>
            </w:pPr>
            <w:r>
              <w:rPr>
                <w:sz w:val="19"/>
              </w:rPr>
              <w:t>Dashboard permission / role access – route to AE (config on Socure side, escalated to Matt Green)</w:t>
            </w:r>
          </w:p>
          <w:p>
            <w:pPr>
              <w:pStyle w:val="ListBullet"/>
              <w:spacing w:after="60"/>
            </w:pPr>
            <w:r>
              <w:rPr>
                <w:sz w:val="19"/>
              </w:rPr>
              <w:t>Policy-driven decisions – customer owns their decision logic &amp; thresholds</w:t>
            </w:r>
          </w:p>
        </w:tc>
      </w:tr>
    </w:tbl>
    <w:p>
      <w:pPr>
        <w:spacing w:after="40"/>
      </w:pPr>
    </w:p>
    <w:p>
      <w:pPr>
        <w:spacing w:before="240" w:after="80"/>
      </w:pPr>
      <w:r>
        <w:rPr>
          <w:b/>
          <w:color w:val="D6480B"/>
          <w:sz w:val="30"/>
        </w:rPr>
        <w:t>9. What to Include in an Escalation</w:t>
      </w:r>
    </w:p>
    <w:p>
      <w:pPr>
        <w:spacing w:after="80"/>
      </w:pPr>
      <w:r>
        <w:rPr>
          <w:b w:val="0"/>
          <w:i w:val="0"/>
          <w:color w:val="1B1B1B"/>
          <w:sz w:val="21"/>
        </w:rPr>
        <w:t>An escalation isn't ready until the completed Support Intake Template is attached with:</w:t>
      </w:r>
    </w:p>
    <w:p>
      <w:pPr>
        <w:pStyle w:val="ListBullet"/>
        <w:spacing w:after="40"/>
      </w:pPr>
      <w:r>
        <w:rPr>
          <w:sz w:val="21"/>
        </w:rPr>
        <w:t>Socure Reference ID(s) for every impacted transaction (Socure keys off this, not PII)</w:t>
      </w:r>
    </w:p>
    <w:p>
      <w:pPr>
        <w:pStyle w:val="ListBullet"/>
        <w:spacing w:after="40"/>
      </w:pPr>
      <w:r>
        <w:rPr>
          <w:sz w:val="21"/>
        </w:rPr>
        <w:t>Screenshots of the error, dashboard result, or DocV outcome</w:t>
      </w:r>
    </w:p>
    <w:p>
      <w:pPr>
        <w:pStyle w:val="ListBullet"/>
        <w:spacing w:after="40"/>
      </w:pPr>
      <w:r>
        <w:rPr>
          <w:sz w:val="21"/>
        </w:rPr>
        <w:t>Date/time range, frequency, and volume of impact; environment (prod vs. sandbox)</w:t>
      </w:r>
    </w:p>
    <w:p>
      <w:pPr>
        <w:pStyle w:val="ListBullet"/>
        <w:spacing w:after="40"/>
      </w:pPr>
      <w:r>
        <w:rPr>
          <w:sz w:val="21"/>
        </w:rPr>
        <w:t>Reason/reject codes returned, with timestamps</w:t>
      </w:r>
    </w:p>
    <w:p>
      <w:pPr>
        <w:pStyle w:val="ListBullet"/>
        <w:spacing w:after="40"/>
      </w:pPr>
      <w:r>
        <w:rPr>
          <w:sz w:val="21"/>
        </w:rPr>
        <w:t>The customer's current decision logic / threshold configuration (for logic questions)</w:t>
      </w:r>
    </w:p>
    <w:p>
      <w:pPr>
        <w:pStyle w:val="ListBullet"/>
        <w:spacing w:after="40"/>
      </w:pPr>
      <w:r>
        <w:rPr>
          <w:sz w:val="21"/>
        </w:rPr>
        <w:t>Troubleshooting already performed and its results</w:t>
      </w:r>
    </w:p>
    <w:p>
      <w:pPr>
        <w:spacing w:before="160" w:after="40"/>
      </w:pPr>
      <w:r>
        <w:rPr>
          <w:b/>
          <w:color w:val="F26522"/>
          <w:sz w:val="24"/>
        </w:rPr>
        <w:t>Escalation contacts</w:t>
      </w:r>
    </w:p>
    <w:tbl>
      <w:tblPr>
        <w:tblStyle w:val="TableGrid"/>
        <w:tblW w:type="auto" w:w="0"/>
        <w:jc w:val="left"/>
        <w:tblLook w:firstColumn="1" w:firstRow="1" w:lastColumn="0" w:lastRow="0" w:noHBand="0" w:noVBand="1" w:val="04A0"/>
      </w:tblPr>
      <w:tblGrid>
        <w:gridCol w:w="3312"/>
        <w:gridCol w:w="3312"/>
        <w:gridCol w:w="3312"/>
      </w:tblGrid>
      <w:tr>
        <w:tc>
          <w:tcPr>
            <w:tcW w:type="dxa" w:w="2592"/>
            <w:shd w:val="clear" w:color="auto" w:fill="D6480B"/>
          </w:tcPr>
          <w:p>
            <w:r>
              <w:rPr>
                <w:b/>
                <w:color w:val="FFFFFF"/>
                <w:sz w:val="20"/>
              </w:rPr>
              <w:t>Contact</w:t>
            </w:r>
          </w:p>
        </w:tc>
        <w:tc>
          <w:tcPr>
            <w:tcW w:type="dxa" w:w="3168"/>
            <w:shd w:val="clear" w:color="auto" w:fill="D6480B"/>
          </w:tcPr>
          <w:p>
            <w:r>
              <w:rPr>
                <w:b/>
                <w:color w:val="FFFFFF"/>
                <w:sz w:val="20"/>
              </w:rPr>
              <w:t>Role</w:t>
            </w:r>
          </w:p>
        </w:tc>
        <w:tc>
          <w:tcPr>
            <w:tcW w:type="dxa" w:w="4320"/>
            <w:shd w:val="clear" w:color="auto" w:fill="D6480B"/>
          </w:tcPr>
          <w:p>
            <w:r>
              <w:rPr>
                <w:b/>
                <w:color w:val="FFFFFF"/>
                <w:sz w:val="20"/>
              </w:rPr>
              <w:t>Escalate for</w:t>
            </w:r>
          </w:p>
        </w:tc>
      </w:tr>
      <w:tr>
        <w:tc>
          <w:tcPr>
            <w:tcW w:type="dxa" w:w="2592"/>
          </w:tcPr>
          <w:p>
            <w:r>
              <w:rPr>
                <w:sz w:val="19"/>
              </w:rPr>
              <w:t>Julia Moll-O'Neil</w:t>
            </w:r>
          </w:p>
        </w:tc>
        <w:tc>
          <w:tcPr>
            <w:tcW w:type="dxa" w:w="3168"/>
          </w:tcPr>
          <w:p>
            <w:r>
              <w:rPr>
                <w:sz w:val="19"/>
              </w:rPr>
              <w:t>Socure – Fraud / Solutions SME</w:t>
            </w:r>
          </w:p>
        </w:tc>
        <w:tc>
          <w:tcPr>
            <w:tcW w:type="dxa" w:w="4320"/>
          </w:tcPr>
          <w:p>
            <w:r>
              <w:rPr>
                <w:sz w:val="19"/>
              </w:rPr>
              <w:t>Decision-logic optimization, fraud pattern investigation, threshold tuning</w:t>
            </w:r>
          </w:p>
        </w:tc>
      </w:tr>
      <w:tr>
        <w:tc>
          <w:tcPr>
            <w:tcW w:type="dxa" w:w="2592"/>
            <w:shd w:val="clear" w:color="auto" w:fill="FDEBE0"/>
          </w:tcPr>
          <w:p>
            <w:r>
              <w:rPr>
                <w:sz w:val="19"/>
              </w:rPr>
              <w:t>Tyler Joosten</w:t>
            </w:r>
          </w:p>
        </w:tc>
        <w:tc>
          <w:tcPr>
            <w:tcW w:type="dxa" w:w="3168"/>
            <w:shd w:val="clear" w:color="auto" w:fill="FDEBE0"/>
          </w:tcPr>
          <w:p>
            <w:r>
              <w:rPr>
                <w:sz w:val="19"/>
              </w:rPr>
              <w:t>Socure – Fraud / Solutions SME</w:t>
            </w:r>
          </w:p>
        </w:tc>
        <w:tc>
          <w:tcPr>
            <w:tcW w:type="dxa" w:w="4320"/>
            <w:shd w:val="clear" w:color="auto" w:fill="FDEBE0"/>
          </w:tcPr>
          <w:p>
            <w:r>
              <w:rPr>
                <w:sz w:val="19"/>
              </w:rPr>
              <w:t>Configuration questions, fraud logic, decisioning support, edge cases</w:t>
            </w:r>
          </w:p>
        </w:tc>
      </w:tr>
      <w:tr>
        <w:tc>
          <w:tcPr>
            <w:tcW w:type="dxa" w:w="2592"/>
          </w:tcPr>
          <w:p>
            <w:r>
              <w:rPr>
                <w:sz w:val="19"/>
              </w:rPr>
              <w:t>Matt Green</w:t>
            </w:r>
          </w:p>
        </w:tc>
        <w:tc>
          <w:tcPr>
            <w:tcW w:type="dxa" w:w="3168"/>
          </w:tcPr>
          <w:p>
            <w:r>
              <w:rPr>
                <w:sz w:val="19"/>
              </w:rPr>
              <w:t>Socure – Routing / config</w:t>
            </w:r>
          </w:p>
        </w:tc>
        <w:tc>
          <w:tcPr>
            <w:tcW w:type="dxa" w:w="4320"/>
          </w:tcPr>
          <w:p>
            <w:r>
              <w:rPr>
                <w:sz w:val="19"/>
              </w:rPr>
              <w:t>Deep logic recommendation exercises; dashboard configuration &amp; permissions</w:t>
            </w:r>
          </w:p>
        </w:tc>
      </w:tr>
      <w:tr>
        <w:tc>
          <w:tcPr>
            <w:tcW w:type="dxa" w:w="2592"/>
            <w:shd w:val="clear" w:color="auto" w:fill="FDEBE0"/>
          </w:tcPr>
          <w:p>
            <w:r>
              <w:rPr>
                <w:sz w:val="19"/>
              </w:rPr>
              <w:t>Account Executive</w:t>
            </w:r>
          </w:p>
        </w:tc>
        <w:tc>
          <w:tcPr>
            <w:tcW w:type="dxa" w:w="3168"/>
            <w:shd w:val="clear" w:color="auto" w:fill="FDEBE0"/>
          </w:tcPr>
          <w:p>
            <w:r>
              <w:rPr>
                <w:sz w:val="19"/>
              </w:rPr>
              <w:t>Commercial / product owner</w:t>
            </w:r>
          </w:p>
        </w:tc>
        <w:tc>
          <w:tcPr>
            <w:tcW w:type="dxa" w:w="4320"/>
            <w:shd w:val="clear" w:color="auto" w:fill="FDEBE0"/>
          </w:tcPr>
          <w:p>
            <w:r>
              <w:rPr>
                <w:sz w:val="19"/>
              </w:rPr>
              <w:t>Adding products, commercial questions, training requests</w:t>
            </w:r>
          </w:p>
        </w:tc>
      </w:tr>
    </w:tbl>
    <w:p>
      <w:pPr>
        <w:spacing w:after="40"/>
      </w:pP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A5A5A"/>
        <w:sz w:val="16"/>
      </w:rPr>
      <w:t>Socure × MeridianLink  |  Confidential – For internal support team use</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1B1B1B"/>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