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28105" w14:textId="62F7B3CB" w:rsidR="00C83DD3" w:rsidRDefault="0091506A" w:rsidP="0091506A">
      <w:pPr>
        <w:pStyle w:val="Title"/>
      </w:pPr>
      <w:r>
        <w:t>Abbeville health center time series analysis</w:t>
      </w:r>
    </w:p>
    <w:p w14:paraId="07EC78FB" w14:textId="0BFAAE88" w:rsidR="00C83DD3" w:rsidRDefault="0091506A">
      <w:pPr>
        <w:pStyle w:val="Subtitle"/>
      </w:pPr>
      <w:r>
        <w:t>Fargo Health Group Deliverable Report</w:t>
      </w:r>
    </w:p>
    <w:p w14:paraId="15E9F8B2" w14:textId="77777777" w:rsidR="00C83DD3" w:rsidRPr="00C35E99" w:rsidRDefault="000D461F">
      <w:pPr>
        <w:pStyle w:val="Author"/>
        <w:rPr>
          <w:sz w:val="24"/>
        </w:rPr>
      </w:pPr>
      <w:r w:rsidRPr="00C35E99">
        <w:rPr>
          <w:sz w:val="24"/>
        </w:rPr>
        <w:t>Tyler Peters</w:t>
      </w:r>
    </w:p>
    <w:p w14:paraId="4BF69164" w14:textId="77777777" w:rsidR="00C83DD3" w:rsidRPr="00C35E99" w:rsidRDefault="000D461F">
      <w:pPr>
        <w:pStyle w:val="Date"/>
        <w:rPr>
          <w:sz w:val="24"/>
        </w:rPr>
      </w:pPr>
      <w:r w:rsidRPr="00C35E99">
        <w:rPr>
          <w:sz w:val="24"/>
        </w:rPr>
        <w:t>August 19, 2016</w:t>
      </w:r>
    </w:p>
    <w:p w14:paraId="4D34832B" w14:textId="77777777" w:rsidR="00C83DD3" w:rsidRDefault="000D461F" w:rsidP="00AE1A55">
      <w:pPr>
        <w:pStyle w:val="Heading1"/>
        <w:jc w:val="left"/>
      </w:pPr>
      <w:bookmarkStart w:id="0" w:name="business-problem"/>
      <w:bookmarkEnd w:id="0"/>
      <w:r>
        <w:t>Business Problem</w:t>
      </w:r>
    </w:p>
    <w:p w14:paraId="7298DA4A" w14:textId="42CB2422" w:rsidR="00C83DD3" w:rsidRPr="00581EA7" w:rsidRDefault="50E88736" w:rsidP="004C3719">
      <w:pPr>
        <w:pStyle w:val="Compact"/>
        <w:rPr>
          <w:sz w:val="24"/>
        </w:rPr>
      </w:pPr>
      <w:r w:rsidRPr="00581EA7">
        <w:rPr>
          <w:sz w:val="24"/>
        </w:rPr>
        <w:t xml:space="preserve">In order to manage the resources of Fargo Health Group's local offices and health centers, the adoption of a data-driven approach is paramount in order to plan staffing needs, make financially sound decisions, and improve customer satisfaction. The analytic approach utilized herein will consume the historical counts of patient visits to the Abbeville health center for </w:t>
      </w:r>
      <w:r w:rsidR="00D57BF6" w:rsidRPr="00581EA7">
        <w:rPr>
          <w:sz w:val="24"/>
        </w:rPr>
        <w:t xml:space="preserve">medical problems related to the </w:t>
      </w:r>
      <w:r w:rsidRPr="00581EA7">
        <w:rPr>
          <w:sz w:val="24"/>
        </w:rPr>
        <w:t xml:space="preserve">cardiovascular </w:t>
      </w:r>
      <w:r w:rsidR="00D57BF6" w:rsidRPr="00581EA7">
        <w:rPr>
          <w:sz w:val="24"/>
        </w:rPr>
        <w:t>system</w:t>
      </w:r>
      <w:r w:rsidRPr="00581EA7">
        <w:rPr>
          <w:sz w:val="24"/>
        </w:rPr>
        <w:t>. Given the vast amount of appointment data across all of the health centers, attempts to make insightful, educated predictions in regard to future staffing needs will prove futile. Within this report we compare two forecasting models, and make recommendations according to the better of the two models.</w:t>
      </w:r>
      <w:r w:rsidR="009531FB">
        <w:rPr>
          <w:sz w:val="24"/>
        </w:rPr>
        <w:t xml:space="preserve"> Ultimately, the goal of this analytic model is to aid the Fargo Health Group ensure that their staffing needs are met </w:t>
      </w:r>
      <w:r w:rsidR="00100813">
        <w:rPr>
          <w:sz w:val="24"/>
        </w:rPr>
        <w:t>as they continue to see a rise in appointment volume.</w:t>
      </w:r>
    </w:p>
    <w:p w14:paraId="6CFB48A2" w14:textId="77777777" w:rsidR="00C83DD3" w:rsidRDefault="000D461F" w:rsidP="00AE1A55">
      <w:pPr>
        <w:pStyle w:val="Heading1"/>
        <w:jc w:val="left"/>
      </w:pPr>
      <w:bookmarkStart w:id="1" w:name="data-cleaning-approach"/>
      <w:bookmarkEnd w:id="1"/>
      <w:r>
        <w:t>Data Cleaning Approach</w:t>
      </w:r>
    </w:p>
    <w:p w14:paraId="4BDC91C0" w14:textId="44E67937" w:rsidR="00C83DD3" w:rsidRDefault="50E88736" w:rsidP="004C3719">
      <w:pPr>
        <w:pStyle w:val="Compact"/>
      </w:pPr>
      <w:r w:rsidRPr="00581EA7">
        <w:rPr>
          <w:sz w:val="24"/>
        </w:rPr>
        <w:t xml:space="preserve">The data for the Abbeville health center was delivered across multiple sheets within an Excel workbook. The main sheet, which contained unsorted data, contained missing values and erroneous data. The </w:t>
      </w:r>
      <w:r w:rsidR="00C6281C" w:rsidRPr="00581EA7">
        <w:rPr>
          <w:sz w:val="24"/>
        </w:rPr>
        <w:t>remainder</w:t>
      </w:r>
      <w:r w:rsidRPr="00581EA7">
        <w:rPr>
          <w:sz w:val="24"/>
        </w:rPr>
        <w:t xml:space="preserve"> of the data for May 2007 and December 2013, specifically, was spread across several more worksheets with unsorted appointment-level data. In these sheets, there were also inconsistencies with date formatting and the presence of additional, irrelevant data. These latter sheets will need to be cleaned first so the appointment counts may be incorporated into the main spreadsheet for subsequent time series analysis.</w:t>
      </w:r>
    </w:p>
    <w:p w14:paraId="67D041A6" w14:textId="77777777" w:rsidR="00C83DD3" w:rsidRDefault="000D461F" w:rsidP="00AE1A55">
      <w:pPr>
        <w:pStyle w:val="Heading2"/>
        <w:jc w:val="left"/>
      </w:pPr>
      <w:bookmarkStart w:id="2" w:name="assumptions"/>
      <w:bookmarkEnd w:id="2"/>
      <w:r>
        <w:t>Assumptions</w:t>
      </w:r>
    </w:p>
    <w:p w14:paraId="3B736169" w14:textId="77777777" w:rsidR="00C83DD3" w:rsidRPr="00581EA7" w:rsidRDefault="50E88736">
      <w:pPr>
        <w:pStyle w:val="Compact"/>
        <w:numPr>
          <w:ilvl w:val="0"/>
          <w:numId w:val="4"/>
        </w:numPr>
        <w:rPr>
          <w:sz w:val="24"/>
        </w:rPr>
      </w:pPr>
      <w:r w:rsidRPr="00581EA7">
        <w:rPr>
          <w:sz w:val="24"/>
        </w:rPr>
        <w:t>In December 2012, the Abbeville health center was closed for the holidays. We take this to assume that there were no appointments scheduled during this month. Since the Abbeville health center did not report closures of this impact historically, this value will be replaced with an imputed value to ensure consistency.</w:t>
      </w:r>
    </w:p>
    <w:p w14:paraId="546CC665" w14:textId="77777777" w:rsidR="00C83DD3" w:rsidRPr="00581EA7" w:rsidRDefault="000D461F">
      <w:pPr>
        <w:pStyle w:val="Compact"/>
        <w:numPr>
          <w:ilvl w:val="0"/>
          <w:numId w:val="4"/>
        </w:numPr>
        <w:rPr>
          <w:sz w:val="24"/>
        </w:rPr>
      </w:pPr>
      <w:r w:rsidRPr="00581EA7">
        <w:rPr>
          <w:sz w:val="24"/>
        </w:rPr>
        <w:lastRenderedPageBreak/>
        <w:t>Values such as 99999999 will be purged from the data and imputed; it is assumed that these are erroneous values.</w:t>
      </w:r>
    </w:p>
    <w:p w14:paraId="6C03F4F1" w14:textId="77777777" w:rsidR="00C83DD3" w:rsidRPr="00581EA7" w:rsidRDefault="000D461F">
      <w:pPr>
        <w:pStyle w:val="Compact"/>
        <w:numPr>
          <w:ilvl w:val="0"/>
          <w:numId w:val="4"/>
        </w:numPr>
        <w:rPr>
          <w:sz w:val="24"/>
        </w:rPr>
      </w:pPr>
      <w:r w:rsidRPr="00581EA7">
        <w:rPr>
          <w:sz w:val="24"/>
        </w:rPr>
        <w:t>Non-numeric data will be removed from the dataset and imputed.</w:t>
      </w:r>
    </w:p>
    <w:p w14:paraId="6ED8C319" w14:textId="3DD6661E" w:rsidR="00C83DD3" w:rsidRPr="00581EA7" w:rsidRDefault="50E88736">
      <w:pPr>
        <w:pStyle w:val="Compact"/>
        <w:numPr>
          <w:ilvl w:val="0"/>
          <w:numId w:val="4"/>
        </w:numPr>
        <w:rPr>
          <w:sz w:val="24"/>
        </w:rPr>
      </w:pPr>
      <w:r w:rsidRPr="00581EA7">
        <w:rPr>
          <w:sz w:val="24"/>
        </w:rPr>
        <w:t>Duplicate entries in the December 2013 dataset were removed during the cleansing process, since each entry represents a unique appointment.</w:t>
      </w:r>
      <w:r w:rsidR="00FC1D37" w:rsidRPr="00581EA7">
        <w:rPr>
          <w:sz w:val="24"/>
        </w:rPr>
        <w:t xml:space="preserve"> It is assumed that combinations of date/time, patient, and physician make each appointment unique.</w:t>
      </w:r>
    </w:p>
    <w:p w14:paraId="0CC19889" w14:textId="351EFE7C" w:rsidR="00C83DD3" w:rsidRPr="00581EA7" w:rsidRDefault="50E88736">
      <w:pPr>
        <w:pStyle w:val="Compact"/>
        <w:numPr>
          <w:ilvl w:val="0"/>
          <w:numId w:val="4"/>
        </w:numPr>
        <w:rPr>
          <w:sz w:val="24"/>
        </w:rPr>
      </w:pPr>
      <w:r w:rsidRPr="00581EA7">
        <w:rPr>
          <w:sz w:val="24"/>
        </w:rPr>
        <w:t>The data for December 2009 through Februa</w:t>
      </w:r>
      <w:r w:rsidR="005D10A4">
        <w:rPr>
          <w:sz w:val="24"/>
        </w:rPr>
        <w:t>ry 2010 was split evenly amongst</w:t>
      </w:r>
      <w:r w:rsidRPr="00581EA7">
        <w:rPr>
          <w:sz w:val="24"/>
        </w:rPr>
        <w:t xml:space="preserve"> the three months, </w:t>
      </w:r>
      <w:r w:rsidR="00FF5348" w:rsidRPr="00581EA7">
        <w:rPr>
          <w:sz w:val="24"/>
        </w:rPr>
        <w:t>adding</w:t>
      </w:r>
      <w:r w:rsidRPr="00581EA7">
        <w:rPr>
          <w:sz w:val="24"/>
        </w:rPr>
        <w:t xml:space="preserve"> to 5129 appointments as noted in the given information.</w:t>
      </w:r>
    </w:p>
    <w:p w14:paraId="7A057C62" w14:textId="77777777" w:rsidR="00C83DD3" w:rsidRPr="00581EA7" w:rsidRDefault="000D461F">
      <w:pPr>
        <w:pStyle w:val="FirstParagraph"/>
        <w:rPr>
          <w:sz w:val="24"/>
        </w:rPr>
      </w:pPr>
      <w:r w:rsidRPr="00581EA7">
        <w:rPr>
          <w:sz w:val="24"/>
        </w:rPr>
        <w:t>Based on the interquartile range computed from the semi-cleaned data (i.e. the data with the obvious outliers and non-numeric data removed), we establish that the number of incoming examinations from October 2013 of 6094 patients is not an outlier (with the exception of 0, any values less than or equal to 6774 were retained in the model). Note that this technique did not detect any outlying data. This can also be visually confirmed by inspecting the boxplot produced from the semi-cleaned data:</w:t>
      </w:r>
    </w:p>
    <w:p w14:paraId="3F81B9C8" w14:textId="77777777" w:rsidR="00C83DD3" w:rsidRDefault="000D461F" w:rsidP="0091506A">
      <w:pPr>
        <w:pStyle w:val="BodyText"/>
        <w:jc w:val="center"/>
      </w:pPr>
      <w:r>
        <w:rPr>
          <w:noProof/>
        </w:rPr>
        <w:drawing>
          <wp:inline distT="0" distB="0" distL="0" distR="0" wp14:anchorId="4957AEB8" wp14:editId="43D6B3B1">
            <wp:extent cx="53340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semi-clean_boxplot-1.png"/>
                    <pic:cNvPicPr>
                      <a:picLocks noChangeAspect="1" noChangeArrowheads="1"/>
                    </pic:cNvPicPr>
                  </pic:nvPicPr>
                  <pic:blipFill>
                    <a:blip r:embed="rId8"/>
                    <a:stretch>
                      <a:fillRect/>
                    </a:stretch>
                  </pic:blipFill>
                  <pic:spPr bwMode="auto">
                    <a:xfrm>
                      <a:off x="0" y="0"/>
                      <a:ext cx="5334000" cy="889000"/>
                    </a:xfrm>
                    <a:prstGeom prst="rect">
                      <a:avLst/>
                    </a:prstGeom>
                    <a:noFill/>
                    <a:ln w="9525">
                      <a:noFill/>
                      <a:headEnd/>
                      <a:tailEnd/>
                    </a:ln>
                  </pic:spPr>
                </pic:pic>
              </a:graphicData>
            </a:graphic>
          </wp:inline>
        </w:drawing>
      </w:r>
    </w:p>
    <w:p w14:paraId="6EC102FF" w14:textId="77777777" w:rsidR="00C83DD3" w:rsidRPr="00581EA7" w:rsidRDefault="000D461F">
      <w:pPr>
        <w:pStyle w:val="BodyText"/>
        <w:rPr>
          <w:sz w:val="24"/>
        </w:rPr>
      </w:pPr>
      <w:r w:rsidRPr="00581EA7">
        <w:rPr>
          <w:sz w:val="24"/>
        </w:rPr>
        <w:t>To illustrate any underlying patterns in the dataset, and examine the data for any other abnormalities, we present a time series plot of the semi-cleaned data, below:</w:t>
      </w:r>
    </w:p>
    <w:p w14:paraId="7D9CEC91" w14:textId="77777777" w:rsidR="00C83DD3" w:rsidRDefault="000D461F" w:rsidP="0091506A">
      <w:pPr>
        <w:pStyle w:val="BodyText"/>
        <w:jc w:val="center"/>
      </w:pPr>
      <w:r>
        <w:rPr>
          <w:noProof/>
        </w:rPr>
        <w:drawing>
          <wp:inline distT="0" distB="0" distL="0" distR="0" wp14:anchorId="1EB867E4" wp14:editId="23766075">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semi-clean_timeseries-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082C614D" w14:textId="77777777" w:rsidR="00C83DD3" w:rsidRPr="00581EA7" w:rsidRDefault="000D461F">
      <w:pPr>
        <w:pStyle w:val="BodyText"/>
        <w:rPr>
          <w:sz w:val="24"/>
        </w:rPr>
      </w:pPr>
      <w:r w:rsidRPr="00581EA7">
        <w:rPr>
          <w:sz w:val="24"/>
        </w:rPr>
        <w:t>Be mindful that the boxplot and the time series plot provided above where included to reveal the underlying structure of the data after the removal of glaring outliers, but prior to imputation. Therefore, both plots presented above were filtered to remove any missing data.</w:t>
      </w:r>
    </w:p>
    <w:p w14:paraId="299D8CBC" w14:textId="763FAA0B" w:rsidR="00C83DD3" w:rsidRPr="00581EA7" w:rsidRDefault="50E88736">
      <w:pPr>
        <w:pStyle w:val="BodyText"/>
        <w:rPr>
          <w:sz w:val="24"/>
        </w:rPr>
      </w:pPr>
      <w:r w:rsidRPr="00581EA7">
        <w:rPr>
          <w:sz w:val="24"/>
        </w:rPr>
        <w:t xml:space="preserve">Observe that while we have removed all obvious outliers from the data, there remains a </w:t>
      </w:r>
      <w:r w:rsidR="00C6281C" w:rsidRPr="00581EA7">
        <w:rPr>
          <w:sz w:val="24"/>
        </w:rPr>
        <w:t>data point</w:t>
      </w:r>
      <w:r w:rsidRPr="00581EA7">
        <w:rPr>
          <w:sz w:val="24"/>
        </w:rPr>
        <w:t xml:space="preserve"> between the years 2008 and 2009 that needs to be properly addressed. To be more precise, </w:t>
      </w:r>
      <w:r w:rsidRPr="00581EA7">
        <w:rPr>
          <w:sz w:val="24"/>
        </w:rPr>
        <w:lastRenderedPageBreak/>
        <w:t xml:space="preserve">this is the number of appointments for October 2008, when the Abbeville health center recorded </w:t>
      </w:r>
      <w:r w:rsidR="00C6281C" w:rsidRPr="00581EA7">
        <w:rPr>
          <w:sz w:val="24"/>
        </w:rPr>
        <w:t>higher</w:t>
      </w:r>
      <w:r w:rsidRPr="00581EA7">
        <w:rPr>
          <w:sz w:val="24"/>
        </w:rPr>
        <w:t>-than-usual appointment volume as a result of the closure of the neighboring New Orleans health center as the result of a hurricane. In order to create the most accurate model possible, we will replace this internal outlier of sorts with an imputed value prior to model fitting.</w:t>
      </w:r>
    </w:p>
    <w:p w14:paraId="1C2CBFE5" w14:textId="77777777" w:rsidR="00C83DD3" w:rsidRPr="00581EA7" w:rsidRDefault="000D461F">
      <w:pPr>
        <w:pStyle w:val="BodyText"/>
        <w:rPr>
          <w:sz w:val="24"/>
        </w:rPr>
      </w:pPr>
      <w:r w:rsidRPr="00581EA7">
        <w:rPr>
          <w:sz w:val="24"/>
        </w:rPr>
        <w:t>After outlying values were removed from the dataset, the data was sorted chronologically and the missing values were imputed usin</w:t>
      </w:r>
      <w:bookmarkStart w:id="3" w:name="_GoBack"/>
      <w:bookmarkEnd w:id="3"/>
      <w:r w:rsidRPr="00581EA7">
        <w:rPr>
          <w:sz w:val="24"/>
        </w:rPr>
        <w:t>g the mice package in R. In this case, our imputation model was linear. We selected a feasible, non-negative set of realistic values from a set of twenty imputed datasets.</w:t>
      </w:r>
    </w:p>
    <w:p w14:paraId="7BCA857C" w14:textId="02CFF9CA" w:rsidR="00C83DD3" w:rsidRPr="00581EA7" w:rsidRDefault="000D461F">
      <w:pPr>
        <w:pStyle w:val="BodyText"/>
        <w:rPr>
          <w:sz w:val="24"/>
        </w:rPr>
      </w:pPr>
      <w:r w:rsidRPr="00581EA7">
        <w:rPr>
          <w:sz w:val="24"/>
        </w:rPr>
        <w:t>Now that the data cleansing is complete, let</w:t>
      </w:r>
      <w:r w:rsidR="00C6281C">
        <w:rPr>
          <w:sz w:val="24"/>
        </w:rPr>
        <w:t>’</w:t>
      </w:r>
      <w:r w:rsidRPr="00581EA7">
        <w:rPr>
          <w:sz w:val="24"/>
        </w:rPr>
        <w:t>s take a look at the new time series plot:</w:t>
      </w:r>
    </w:p>
    <w:p w14:paraId="236FE953" w14:textId="77777777" w:rsidR="00C83DD3" w:rsidRDefault="000D461F" w:rsidP="0091506A">
      <w:pPr>
        <w:pStyle w:val="BodyText"/>
        <w:jc w:val="center"/>
      </w:pPr>
      <w:r>
        <w:rPr>
          <w:noProof/>
        </w:rPr>
        <w:drawing>
          <wp:inline distT="0" distB="0" distL="0" distR="0" wp14:anchorId="0F5F3F0D" wp14:editId="54028154">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clean_timeseries-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1756D19F" w14:textId="77777777" w:rsidR="00C83DD3" w:rsidRPr="00581EA7" w:rsidRDefault="000D461F">
      <w:pPr>
        <w:pStyle w:val="BodyText"/>
        <w:rPr>
          <w:sz w:val="24"/>
        </w:rPr>
      </w:pPr>
      <w:r w:rsidRPr="00581EA7">
        <w:rPr>
          <w:sz w:val="24"/>
        </w:rPr>
        <w:t>At this point we have a complete, clean, realistic dataset from which we may conduct our time series analysis.</w:t>
      </w:r>
    </w:p>
    <w:p w14:paraId="78B48AA3" w14:textId="489621F4" w:rsidR="00C83DD3" w:rsidRDefault="000D461F" w:rsidP="00AE1A55">
      <w:pPr>
        <w:pStyle w:val="Heading1"/>
        <w:jc w:val="left"/>
      </w:pPr>
      <w:bookmarkStart w:id="4" w:name="forcasting-models"/>
      <w:bookmarkEnd w:id="4"/>
      <w:r>
        <w:t>For</w:t>
      </w:r>
      <w:r w:rsidR="00FF5348">
        <w:t>e</w:t>
      </w:r>
      <w:r>
        <w:t>casting Models</w:t>
      </w:r>
    </w:p>
    <w:p w14:paraId="4137932A" w14:textId="7A329910" w:rsidR="00C83DD3" w:rsidRPr="00581EA7" w:rsidRDefault="50E88736" w:rsidP="004C3719">
      <w:pPr>
        <w:pStyle w:val="Compact"/>
        <w:rPr>
          <w:sz w:val="24"/>
        </w:rPr>
      </w:pPr>
      <w:r w:rsidRPr="00581EA7">
        <w:rPr>
          <w:sz w:val="24"/>
        </w:rPr>
        <w:t>In this analysis, we select the autoregre</w:t>
      </w:r>
      <w:r w:rsidR="00FF5348" w:rsidRPr="00581EA7">
        <w:rPr>
          <w:sz w:val="24"/>
        </w:rPr>
        <w:t>ssive integrated moving average (ARIMA) and the Holt-</w:t>
      </w:r>
      <w:r w:rsidRPr="00581EA7">
        <w:rPr>
          <w:sz w:val="24"/>
        </w:rPr>
        <w:t xml:space="preserve">Winters exponential smoothing models as our primary candidates. These models were selected because they are robust and each present </w:t>
      </w:r>
      <w:r w:rsidR="00C6281C" w:rsidRPr="00581EA7">
        <w:rPr>
          <w:sz w:val="24"/>
        </w:rPr>
        <w:t>unique</w:t>
      </w:r>
      <w:r w:rsidRPr="00581EA7">
        <w:rPr>
          <w:sz w:val="24"/>
        </w:rPr>
        <w:t xml:space="preserve"> strengths and weaknesses. For instance, the ARIMA model is more sensitive to historical data. Whereas the Holt Winters exponential smoothing model handles trends more accurately and efficiently than the ARIMA model. These unique offerings are clearly visible in the plots produced from each of the models, below:</w:t>
      </w:r>
    </w:p>
    <w:p w14:paraId="0C158728" w14:textId="77777777" w:rsidR="00C83DD3" w:rsidRPr="00581EA7" w:rsidRDefault="000D461F">
      <w:pPr>
        <w:pStyle w:val="BodyText"/>
        <w:rPr>
          <w:sz w:val="24"/>
        </w:rPr>
      </w:pPr>
      <w:r w:rsidRPr="00581EA7">
        <w:rPr>
          <w:sz w:val="24"/>
        </w:rPr>
        <w:t>The code snippet below reveals the definition of the ARIMA model in the R computing language. Note that the weights for the model were calculated automatically.</w:t>
      </w:r>
    </w:p>
    <w:p w14:paraId="30EEB54A" w14:textId="77777777" w:rsidR="00C83DD3" w:rsidRDefault="000D461F">
      <w:pPr>
        <w:pStyle w:val="SourceCode"/>
      </w:pPr>
      <w:r>
        <w:rPr>
          <w:rStyle w:val="CommentTok"/>
        </w:rPr>
        <w:t># define a ts object for use in the models</w:t>
      </w:r>
      <w:r>
        <w:br/>
      </w:r>
      <w:r>
        <w:rPr>
          <w:rStyle w:val="NormalTok"/>
        </w:rPr>
        <w:t>ts.data &lt;-</w:t>
      </w:r>
      <w:r>
        <w:rPr>
          <w:rStyle w:val="StringTok"/>
        </w:rPr>
        <w:t xml:space="preserve"> </w:t>
      </w:r>
      <w:r>
        <w:rPr>
          <w:rStyle w:val="KeywordTok"/>
        </w:rPr>
        <w:t>ts</w:t>
      </w:r>
      <w:r>
        <w:rPr>
          <w:rStyle w:val="NormalTok"/>
        </w:rPr>
        <w:t>(finalData$</w:t>
      </w:r>
      <w:r>
        <w:rPr>
          <w:rStyle w:val="StringTok"/>
        </w:rPr>
        <w:t>`</w:t>
      </w:r>
      <w:r>
        <w:rPr>
          <w:rStyle w:val="DataTypeTok"/>
        </w:rPr>
        <w:t>Incoming Examinations</w:t>
      </w:r>
      <w:r>
        <w:rPr>
          <w:rStyle w:val="StringTok"/>
        </w:rPr>
        <w:t>`</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2006</w:t>
      </w:r>
      <w:r>
        <w:rPr>
          <w:rStyle w:val="NormalTok"/>
        </w:rPr>
        <w:t>,</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2013</w:t>
      </w:r>
      <w:r>
        <w:rPr>
          <w:rStyle w:val="NormalTok"/>
        </w:rPr>
        <w:t>,</w:t>
      </w:r>
      <w:r>
        <w:rPr>
          <w:rStyle w:val="DecValTok"/>
        </w:rPr>
        <w:t>12</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br/>
      </w:r>
      <w:r>
        <w:rPr>
          <w:rStyle w:val="NormalTok"/>
        </w:rPr>
        <w:lastRenderedPageBreak/>
        <w:t>## ARIMA model</w:t>
      </w:r>
      <w:r>
        <w:br/>
      </w:r>
      <w:r>
        <w:rPr>
          <w:rStyle w:val="NormalTok"/>
        </w:rPr>
        <w:t xml:space="preserve">  </w:t>
      </w:r>
      <w:r>
        <w:rPr>
          <w:rStyle w:val="CommentTok"/>
        </w:rPr>
        <w:t># employ the auto.arima function to find the arima model with the lowest AIC</w:t>
      </w:r>
      <w:r>
        <w:br/>
      </w:r>
      <w:r>
        <w:rPr>
          <w:rStyle w:val="NormalTok"/>
        </w:rPr>
        <w:t xml:space="preserve">  arima.model &lt;-</w:t>
      </w:r>
      <w:r>
        <w:rPr>
          <w:rStyle w:val="StringTok"/>
        </w:rPr>
        <w:t xml:space="preserve"> </w:t>
      </w:r>
      <w:r>
        <w:rPr>
          <w:rStyle w:val="KeywordTok"/>
        </w:rPr>
        <w:t>auto.arima</w:t>
      </w:r>
      <w:r>
        <w:rPr>
          <w:rStyle w:val="NormalTok"/>
        </w:rPr>
        <w:t>(ts.data)</w:t>
      </w:r>
      <w:r>
        <w:br/>
      </w:r>
      <w:r>
        <w:rPr>
          <w:rStyle w:val="NormalTok"/>
        </w:rPr>
        <w:t xml:space="preserve">  </w:t>
      </w:r>
      <w:r>
        <w:br/>
      </w:r>
      <w:r>
        <w:rPr>
          <w:rStyle w:val="NormalTok"/>
        </w:rPr>
        <w:t xml:space="preserve">  </w:t>
      </w:r>
      <w:r>
        <w:rPr>
          <w:rStyle w:val="CommentTok"/>
        </w:rPr>
        <w:t># plot the ARIMA model with 12 month forecast</w:t>
      </w:r>
      <w:r>
        <w:br/>
      </w:r>
      <w:r>
        <w:rPr>
          <w:rStyle w:val="NormalTok"/>
        </w:rPr>
        <w:t xml:space="preserve">  </w:t>
      </w:r>
      <w:r>
        <w:rPr>
          <w:rStyle w:val="KeywordTok"/>
        </w:rPr>
        <w:t>plot</w:t>
      </w:r>
      <w:r>
        <w:rPr>
          <w:rStyle w:val="NormalTok"/>
        </w:rPr>
        <w:t>(</w:t>
      </w:r>
      <w:r>
        <w:rPr>
          <w:rStyle w:val="KeywordTok"/>
        </w:rPr>
        <w:t>forecast</w:t>
      </w:r>
      <w:r>
        <w:rPr>
          <w:rStyle w:val="NormalTok"/>
        </w:rPr>
        <w:t xml:space="preserve">(arima.model, </w:t>
      </w:r>
      <w:r>
        <w:rPr>
          <w:rStyle w:val="DataTypeTok"/>
        </w:rPr>
        <w:t>level =</w:t>
      </w:r>
      <w:r>
        <w:rPr>
          <w:rStyle w:val="NormalTok"/>
        </w:rPr>
        <w:t xml:space="preserve"> </w:t>
      </w:r>
      <w:r>
        <w:rPr>
          <w:rStyle w:val="FloatTok"/>
        </w:rPr>
        <w:t>0.95</w:t>
      </w:r>
      <w:r>
        <w:rPr>
          <w:rStyle w:val="NormalTok"/>
        </w:rPr>
        <w:t xml:space="preserve">, </w:t>
      </w:r>
      <w:r>
        <w:rPr>
          <w:rStyle w:val="DataTypeTok"/>
        </w:rPr>
        <w:t>h =</w:t>
      </w:r>
      <w:r>
        <w:rPr>
          <w:rStyle w:val="NormalTok"/>
        </w:rPr>
        <w:t xml:space="preserve"> </w:t>
      </w:r>
      <w:r>
        <w:rPr>
          <w:rStyle w:val="DecValTok"/>
        </w:rPr>
        <w:t>12</w:t>
      </w:r>
      <w:r>
        <w:rPr>
          <w:rStyle w:val="NormalTok"/>
        </w:rPr>
        <w:t>))</w:t>
      </w:r>
    </w:p>
    <w:p w14:paraId="50ADB4B8" w14:textId="77777777" w:rsidR="00C83DD3" w:rsidRDefault="000D461F" w:rsidP="0091506A">
      <w:pPr>
        <w:pStyle w:val="FirstParagraph"/>
        <w:jc w:val="center"/>
      </w:pPr>
      <w:r>
        <w:rPr>
          <w:noProof/>
        </w:rPr>
        <w:drawing>
          <wp:inline distT="0" distB="0" distL="0" distR="0" wp14:anchorId="7F2868C6" wp14:editId="2BE1C8D4">
            <wp:extent cx="5121486" cy="3492229"/>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ARIMA_model-1.png"/>
                    <pic:cNvPicPr>
                      <a:picLocks noChangeAspect="1" noChangeArrowheads="1"/>
                    </pic:cNvPicPr>
                  </pic:nvPicPr>
                  <pic:blipFill rotWithShape="1">
                    <a:blip r:embed="rId11"/>
                    <a:srcRect b="9083"/>
                    <a:stretch/>
                  </pic:blipFill>
                  <pic:spPr bwMode="auto">
                    <a:xfrm>
                      <a:off x="0" y="0"/>
                      <a:ext cx="5131342" cy="3498950"/>
                    </a:xfrm>
                    <a:prstGeom prst="rect">
                      <a:avLst/>
                    </a:prstGeom>
                    <a:noFill/>
                    <a:ln>
                      <a:noFill/>
                    </a:ln>
                    <a:extLst>
                      <a:ext uri="{53640926-AAD7-44D8-BBD7-CCE9431645EC}">
                        <a14:shadowObscured xmlns:a14="http://schemas.microsoft.com/office/drawing/2010/main"/>
                      </a:ext>
                    </a:extLst>
                  </pic:spPr>
                </pic:pic>
              </a:graphicData>
            </a:graphic>
          </wp:inline>
        </w:drawing>
      </w:r>
    </w:p>
    <w:p w14:paraId="32FAD2B5" w14:textId="77777777" w:rsidR="00C83DD3" w:rsidRPr="00581EA7" w:rsidRDefault="000D461F">
      <w:pPr>
        <w:pStyle w:val="BodyText"/>
        <w:rPr>
          <w:sz w:val="24"/>
        </w:rPr>
      </w:pPr>
      <w:r w:rsidRPr="00581EA7">
        <w:rPr>
          <w:sz w:val="24"/>
        </w:rPr>
        <w:t>Based on the plots of the residuals below, we conclude that the residuals are approximately normal based on the shape and dispersion of the histogram, and that the variance in the residuals is relatively constant through time. Thus, the model is a good fit to the data.</w:t>
      </w:r>
    </w:p>
    <w:p w14:paraId="5B7237C1" w14:textId="77777777" w:rsidR="00C83DD3" w:rsidRDefault="000D461F" w:rsidP="0091506A">
      <w:pPr>
        <w:pStyle w:val="BodyText"/>
        <w:jc w:val="center"/>
      </w:pPr>
      <w:r>
        <w:rPr>
          <w:noProof/>
        </w:rPr>
        <w:drawing>
          <wp:inline distT="0" distB="0" distL="0" distR="0" wp14:anchorId="1425DC4F" wp14:editId="46928093">
            <wp:extent cx="4990654" cy="24953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ARIMA_residuals-1.png"/>
                    <pic:cNvPicPr>
                      <a:picLocks noChangeAspect="1" noChangeArrowheads="1"/>
                    </pic:cNvPicPr>
                  </pic:nvPicPr>
                  <pic:blipFill>
                    <a:blip r:embed="rId12"/>
                    <a:stretch>
                      <a:fillRect/>
                    </a:stretch>
                  </pic:blipFill>
                  <pic:spPr bwMode="auto">
                    <a:xfrm>
                      <a:off x="0" y="0"/>
                      <a:ext cx="5091413" cy="2545706"/>
                    </a:xfrm>
                    <a:prstGeom prst="rect">
                      <a:avLst/>
                    </a:prstGeom>
                    <a:noFill/>
                    <a:ln w="9525">
                      <a:noFill/>
                      <a:headEnd/>
                      <a:tailEnd/>
                    </a:ln>
                  </pic:spPr>
                </pic:pic>
              </a:graphicData>
            </a:graphic>
          </wp:inline>
        </w:drawing>
      </w:r>
    </w:p>
    <w:p w14:paraId="47D1C453" w14:textId="77777777" w:rsidR="00C83DD3" w:rsidRPr="00581EA7" w:rsidRDefault="000D461F">
      <w:pPr>
        <w:pStyle w:val="BodyText"/>
        <w:rPr>
          <w:sz w:val="24"/>
        </w:rPr>
      </w:pPr>
      <w:r w:rsidRPr="00581EA7">
        <w:rPr>
          <w:sz w:val="24"/>
        </w:rPr>
        <w:lastRenderedPageBreak/>
        <w:t>The code snippet below reveals the definition of the Holt-Winters model in the R.</w:t>
      </w:r>
    </w:p>
    <w:p w14:paraId="55657C7E" w14:textId="77777777" w:rsidR="00C83DD3" w:rsidRDefault="000D461F">
      <w:pPr>
        <w:pStyle w:val="SourceCode"/>
      </w:pPr>
      <w:r>
        <w:rPr>
          <w:rStyle w:val="NormalTok"/>
        </w:rPr>
        <w:t>## Holt Winters model</w:t>
      </w:r>
      <w:r>
        <w:br/>
      </w:r>
      <w:r>
        <w:rPr>
          <w:rStyle w:val="NormalTok"/>
        </w:rPr>
        <w:t xml:space="preserve">  </w:t>
      </w:r>
      <w:r>
        <w:rPr>
          <w:rStyle w:val="CommentTok"/>
        </w:rPr>
        <w:t># employ the HoltWinters() function</w:t>
      </w:r>
      <w:r>
        <w:br/>
      </w:r>
      <w:r>
        <w:rPr>
          <w:rStyle w:val="NormalTok"/>
        </w:rPr>
        <w:t xml:space="preserve">  holt.model &lt;-</w:t>
      </w:r>
      <w:r>
        <w:rPr>
          <w:rStyle w:val="StringTok"/>
        </w:rPr>
        <w:t xml:space="preserve"> </w:t>
      </w:r>
      <w:r>
        <w:rPr>
          <w:rStyle w:val="KeywordTok"/>
        </w:rPr>
        <w:t>HoltWinters</w:t>
      </w:r>
      <w:r>
        <w:rPr>
          <w:rStyle w:val="NormalTok"/>
        </w:rPr>
        <w:t>(ts.data)</w:t>
      </w:r>
      <w:r>
        <w:br/>
      </w:r>
      <w:r>
        <w:br/>
      </w:r>
      <w:r>
        <w:rPr>
          <w:rStyle w:val="NormalTok"/>
        </w:rPr>
        <w:t xml:space="preserve">  </w:t>
      </w:r>
      <w:r>
        <w:rPr>
          <w:rStyle w:val="CommentTok"/>
        </w:rPr>
        <w:t># plot the Holt Winters model with 12 month forecast</w:t>
      </w:r>
      <w:r>
        <w:br/>
      </w:r>
      <w:r>
        <w:rPr>
          <w:rStyle w:val="NormalTok"/>
        </w:rPr>
        <w:t xml:space="preserve">  </w:t>
      </w:r>
      <w:r>
        <w:rPr>
          <w:rStyle w:val="KeywordTok"/>
        </w:rPr>
        <w:t>plot</w:t>
      </w:r>
      <w:r>
        <w:rPr>
          <w:rStyle w:val="NormalTok"/>
        </w:rPr>
        <w:t>(</w:t>
      </w:r>
      <w:r>
        <w:rPr>
          <w:rStyle w:val="KeywordTok"/>
        </w:rPr>
        <w:t>forecast.HoltWinters</w:t>
      </w:r>
      <w:r>
        <w:rPr>
          <w:rStyle w:val="NormalTok"/>
        </w:rPr>
        <w:t xml:space="preserve">(holt.model, </w:t>
      </w:r>
      <w:r>
        <w:rPr>
          <w:rStyle w:val="DataTypeTok"/>
        </w:rPr>
        <w:t>level =</w:t>
      </w:r>
      <w:r>
        <w:rPr>
          <w:rStyle w:val="NormalTok"/>
        </w:rPr>
        <w:t xml:space="preserve"> </w:t>
      </w:r>
      <w:r>
        <w:rPr>
          <w:rStyle w:val="FloatTok"/>
        </w:rPr>
        <w:t>0.95</w:t>
      </w:r>
      <w:r>
        <w:rPr>
          <w:rStyle w:val="NormalTok"/>
        </w:rPr>
        <w:t xml:space="preserve">, </w:t>
      </w:r>
      <w:r>
        <w:rPr>
          <w:rStyle w:val="DataTypeTok"/>
        </w:rPr>
        <w:t>h =</w:t>
      </w:r>
      <w:r>
        <w:rPr>
          <w:rStyle w:val="NormalTok"/>
        </w:rPr>
        <w:t xml:space="preserve"> </w:t>
      </w:r>
      <w:r>
        <w:rPr>
          <w:rStyle w:val="DecValTok"/>
        </w:rPr>
        <w:t>12</w:t>
      </w:r>
      <w:r>
        <w:rPr>
          <w:rStyle w:val="NormalTok"/>
        </w:rPr>
        <w:t xml:space="preserve">)) </w:t>
      </w:r>
    </w:p>
    <w:p w14:paraId="3165CD88" w14:textId="77777777" w:rsidR="00C83DD3" w:rsidRDefault="000D461F" w:rsidP="0091506A">
      <w:pPr>
        <w:pStyle w:val="FirstParagraph"/>
        <w:jc w:val="center"/>
      </w:pPr>
      <w:r>
        <w:rPr>
          <w:noProof/>
        </w:rPr>
        <w:drawing>
          <wp:inline distT="0" distB="0" distL="0" distR="0" wp14:anchorId="022EFC0C" wp14:editId="35DF36FF">
            <wp:extent cx="5334000" cy="36089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Holt_model-1.png"/>
                    <pic:cNvPicPr>
                      <a:picLocks noChangeAspect="1" noChangeArrowheads="1"/>
                    </pic:cNvPicPr>
                  </pic:nvPicPr>
                  <pic:blipFill rotWithShape="1">
                    <a:blip r:embed="rId13"/>
                    <a:srcRect b="9788"/>
                    <a:stretch/>
                  </pic:blipFill>
                  <pic:spPr bwMode="auto">
                    <a:xfrm>
                      <a:off x="0" y="0"/>
                      <a:ext cx="5334000" cy="3608962"/>
                    </a:xfrm>
                    <a:prstGeom prst="rect">
                      <a:avLst/>
                    </a:prstGeom>
                    <a:noFill/>
                    <a:ln>
                      <a:noFill/>
                    </a:ln>
                    <a:extLst>
                      <a:ext uri="{53640926-AAD7-44D8-BBD7-CCE9431645EC}">
                        <a14:shadowObscured xmlns:a14="http://schemas.microsoft.com/office/drawing/2010/main"/>
                      </a:ext>
                    </a:extLst>
                  </pic:spPr>
                </pic:pic>
              </a:graphicData>
            </a:graphic>
          </wp:inline>
        </w:drawing>
      </w:r>
    </w:p>
    <w:p w14:paraId="298AB97E" w14:textId="77777777" w:rsidR="00C83DD3" w:rsidRPr="00581EA7" w:rsidRDefault="000D461F">
      <w:pPr>
        <w:pStyle w:val="BodyText"/>
        <w:rPr>
          <w:sz w:val="24"/>
        </w:rPr>
      </w:pPr>
      <w:r w:rsidRPr="00581EA7">
        <w:rPr>
          <w:sz w:val="24"/>
        </w:rPr>
        <w:t>Similar to the conclusion made in regard to the ARIMA model, the residuals are approximately normal based on the shape and dispersion of the histogram, and that the variance in the residuals is relatively constant through time. Thus, the model appears to be a good fit to the data.</w:t>
      </w:r>
    </w:p>
    <w:p w14:paraId="49FADD81" w14:textId="77777777" w:rsidR="00C83DD3" w:rsidRDefault="000D461F" w:rsidP="0091506A">
      <w:pPr>
        <w:pStyle w:val="BodyText"/>
        <w:jc w:val="center"/>
      </w:pPr>
      <w:r>
        <w:rPr>
          <w:noProof/>
        </w:rPr>
        <w:drawing>
          <wp:inline distT="0" distB="0" distL="0" distR="0" wp14:anchorId="018E3EAC" wp14:editId="559ADE07">
            <wp:extent cx="5053884" cy="2337599"/>
            <wp:effectExtent l="0" t="0" r="127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Holt_residuals-1.png"/>
                    <pic:cNvPicPr>
                      <a:picLocks noChangeAspect="1" noChangeArrowheads="1"/>
                    </pic:cNvPicPr>
                  </pic:nvPicPr>
                  <pic:blipFill>
                    <a:blip r:embed="rId14"/>
                    <a:stretch>
                      <a:fillRect/>
                    </a:stretch>
                  </pic:blipFill>
                  <pic:spPr bwMode="auto">
                    <a:xfrm>
                      <a:off x="0" y="0"/>
                      <a:ext cx="5059137" cy="2340029"/>
                    </a:xfrm>
                    <a:prstGeom prst="rect">
                      <a:avLst/>
                    </a:prstGeom>
                    <a:noFill/>
                    <a:ln w="9525">
                      <a:noFill/>
                      <a:headEnd/>
                      <a:tailEnd/>
                    </a:ln>
                  </pic:spPr>
                </pic:pic>
              </a:graphicData>
            </a:graphic>
          </wp:inline>
        </w:drawing>
      </w:r>
    </w:p>
    <w:p w14:paraId="381089B0" w14:textId="39F08041" w:rsidR="00C83DD3" w:rsidRPr="00581EA7" w:rsidRDefault="000D461F">
      <w:pPr>
        <w:pStyle w:val="BodyText"/>
        <w:rPr>
          <w:sz w:val="24"/>
        </w:rPr>
      </w:pPr>
      <w:r w:rsidRPr="00581EA7">
        <w:rPr>
          <w:sz w:val="24"/>
        </w:rPr>
        <w:lastRenderedPageBreak/>
        <w:t xml:space="preserve">Now that we have established two good models for forecasting the number of appointments for the Abbeville health center for </w:t>
      </w:r>
      <w:r w:rsidR="00C6281C" w:rsidRPr="00581EA7">
        <w:rPr>
          <w:sz w:val="24"/>
        </w:rPr>
        <w:t>cardiovascular</w:t>
      </w:r>
      <w:r w:rsidRPr="00581EA7">
        <w:rPr>
          <w:sz w:val="24"/>
        </w:rPr>
        <w:t xml:space="preserve"> appointments, we now need to determine which of the models to use. In other words, which of the models is better?</w:t>
      </w:r>
    </w:p>
    <w:p w14:paraId="6D7EE706" w14:textId="77777777" w:rsidR="00C83DD3" w:rsidRDefault="000D461F" w:rsidP="00AE1A55">
      <w:pPr>
        <w:pStyle w:val="Heading2"/>
        <w:jc w:val="left"/>
      </w:pPr>
      <w:bookmarkStart w:id="5" w:name="model-comparison"/>
      <w:bookmarkEnd w:id="5"/>
      <w:r>
        <w:t>Model Comparison</w:t>
      </w:r>
    </w:p>
    <w:p w14:paraId="3871B2F6" w14:textId="77777777" w:rsidR="00C83DD3" w:rsidRPr="00581EA7" w:rsidRDefault="000D461F" w:rsidP="004C3719">
      <w:pPr>
        <w:pStyle w:val="Compact"/>
        <w:rPr>
          <w:sz w:val="24"/>
        </w:rPr>
      </w:pPr>
      <w:r w:rsidRPr="00581EA7">
        <w:rPr>
          <w:sz w:val="24"/>
        </w:rPr>
        <w:t>In order to compare the models, we use the standard error measurements for each model, where the model with the lowest absolute errors represents the top candidate for driving predictions.</w:t>
      </w:r>
    </w:p>
    <w:p w14:paraId="7CEB62DA" w14:textId="77777777" w:rsidR="00C83DD3" w:rsidRDefault="000D461F" w:rsidP="00AE1A55">
      <w:pPr>
        <w:pStyle w:val="Heading3"/>
        <w:jc w:val="left"/>
      </w:pPr>
      <w:bookmarkStart w:id="6" w:name="error-measures-for-arima-model"/>
      <w:bookmarkEnd w:id="6"/>
      <w:r>
        <w:t>Error Measures for ARIMA Model</w:t>
      </w:r>
    </w:p>
    <w:p w14:paraId="6D3C3D14" w14:textId="77777777" w:rsidR="00C83DD3" w:rsidRDefault="000D461F">
      <w:pPr>
        <w:pStyle w:val="SourceCode"/>
      </w:pPr>
      <w:r>
        <w:rPr>
          <w:rStyle w:val="VerbatimChar"/>
        </w:rPr>
        <w:t>##                     ME     RMSE      MAE       MPE     MAPE      MASE</w:t>
      </w:r>
      <w:r>
        <w:br/>
      </w:r>
      <w:r>
        <w:rPr>
          <w:rStyle w:val="VerbatimChar"/>
        </w:rPr>
        <w:t>## Training set -1.308658 384.1332 264.4065 -9.371803 18.70534 0.3725214</w:t>
      </w:r>
      <w:r>
        <w:br/>
      </w:r>
      <w:r>
        <w:rPr>
          <w:rStyle w:val="VerbatimChar"/>
        </w:rPr>
        <w:t>##                     ACF1</w:t>
      </w:r>
      <w:r>
        <w:br/>
      </w:r>
      <w:r>
        <w:rPr>
          <w:rStyle w:val="VerbatimChar"/>
        </w:rPr>
        <w:t>## Training set -0.06193649</w:t>
      </w:r>
    </w:p>
    <w:p w14:paraId="3B001A15" w14:textId="77777777" w:rsidR="00C83DD3" w:rsidRDefault="000D461F" w:rsidP="00AE1A55">
      <w:pPr>
        <w:pStyle w:val="Heading3"/>
        <w:jc w:val="left"/>
      </w:pPr>
      <w:bookmarkStart w:id="7" w:name="error-measures-for-the-holt-winters-mode"/>
      <w:bookmarkEnd w:id="7"/>
      <w:r>
        <w:t>Error Measures for the Holt-Winters Model</w:t>
      </w:r>
    </w:p>
    <w:p w14:paraId="0DF56E2D" w14:textId="77777777" w:rsidR="00C83DD3" w:rsidRDefault="000D461F">
      <w:pPr>
        <w:pStyle w:val="SourceCode"/>
      </w:pPr>
      <w:r>
        <w:rPr>
          <w:rStyle w:val="VerbatimChar"/>
        </w:rPr>
        <w:t>##                    ME     RMSE      MAE      MPE     MAPE      MASE</w:t>
      </w:r>
      <w:r>
        <w:br/>
      </w:r>
      <w:r>
        <w:rPr>
          <w:rStyle w:val="VerbatimChar"/>
        </w:rPr>
        <w:t>## Training set 73.37512 409.0692 297.0001 6.532693 21.50915 0.5352273</w:t>
      </w:r>
      <w:r>
        <w:br/>
      </w:r>
      <w:r>
        <w:rPr>
          <w:rStyle w:val="VerbatimChar"/>
        </w:rPr>
        <w:t>##                   ACF1</w:t>
      </w:r>
      <w:r>
        <w:br/>
      </w:r>
      <w:r>
        <w:rPr>
          <w:rStyle w:val="VerbatimChar"/>
        </w:rPr>
        <w:t>## Training set 0.1023867</w:t>
      </w:r>
    </w:p>
    <w:p w14:paraId="1B905FF5" w14:textId="77777777" w:rsidR="00C83DD3" w:rsidRPr="00581EA7" w:rsidRDefault="000D461F">
      <w:pPr>
        <w:pStyle w:val="FirstParagraph"/>
        <w:rPr>
          <w:sz w:val="24"/>
        </w:rPr>
      </w:pPr>
      <w:r w:rsidRPr="00581EA7">
        <w:rPr>
          <w:sz w:val="24"/>
        </w:rPr>
        <w:t>Upon comparison of the error measurements, it is clear that the ARIMA model has lower absolute error than the Holt-Winters model. The recommendations made hereafter are based on the predictions of the ARIMA model.</w:t>
      </w:r>
    </w:p>
    <w:p w14:paraId="0CBE08E8" w14:textId="7BE8C5C4" w:rsidR="00C83DD3" w:rsidRDefault="000D461F" w:rsidP="005B0C97">
      <w:pPr>
        <w:pStyle w:val="Heading1"/>
        <w:jc w:val="left"/>
      </w:pPr>
      <w:bookmarkStart w:id="8" w:name="recommendations"/>
      <w:bookmarkEnd w:id="8"/>
      <w:r>
        <w:t>Recommendations</w:t>
      </w:r>
    </w:p>
    <w:p w14:paraId="2BF7E1DF" w14:textId="09E02596" w:rsidR="004C3719" w:rsidRPr="00581EA7" w:rsidRDefault="50E88736" w:rsidP="004C3719">
      <w:pPr>
        <w:pStyle w:val="Compact"/>
        <w:rPr>
          <w:sz w:val="24"/>
        </w:rPr>
      </w:pPr>
      <w:r w:rsidRPr="00581EA7">
        <w:rPr>
          <w:sz w:val="24"/>
        </w:rPr>
        <w:t>Based on the twelve-month forecast presented above, it is strongly recommended t</w:t>
      </w:r>
      <w:r w:rsidR="00FF5348" w:rsidRPr="00581EA7">
        <w:rPr>
          <w:sz w:val="24"/>
        </w:rPr>
        <w:t xml:space="preserve">hat the Fargo Health Group </w:t>
      </w:r>
      <w:r w:rsidRPr="00581EA7">
        <w:rPr>
          <w:sz w:val="24"/>
        </w:rPr>
        <w:t>increase the medical staff at the Abbeville health center in response to the positive trend in cardiovascular appointments. Given the additional financial burden placed on Fargo Health Group when deferring patients to local outpatient clinics, paired with the indication that the number of appointments is trending up – as opposed to down – we do not make this recommendation lightly.</w:t>
      </w:r>
    </w:p>
    <w:p w14:paraId="1FF689B0" w14:textId="77777777" w:rsidR="00F00856" w:rsidRPr="00581EA7" w:rsidRDefault="00F00856" w:rsidP="004C3719">
      <w:pPr>
        <w:pStyle w:val="Compact"/>
        <w:rPr>
          <w:sz w:val="24"/>
        </w:rPr>
      </w:pPr>
    </w:p>
    <w:p w14:paraId="0A880A0F" w14:textId="271D9459" w:rsidR="00F00856" w:rsidRPr="00581EA7" w:rsidRDefault="00F00856" w:rsidP="004C3719">
      <w:pPr>
        <w:pStyle w:val="Compact"/>
        <w:rPr>
          <w:sz w:val="24"/>
        </w:rPr>
      </w:pPr>
      <w:r w:rsidRPr="00581EA7">
        <w:rPr>
          <w:sz w:val="24"/>
        </w:rPr>
        <w:t>In addition to the changes in staffing, we recommend that the information systems supporting the storage and query of patient data be improved to aide in expedited analysis in the future. While the data was imputed successfully, ensuring accurate, complete data in the future will be paramount in regard to fine-tuning the model and validating that it is performing as expected.</w:t>
      </w:r>
    </w:p>
    <w:p w14:paraId="47C68D0A" w14:textId="77777777" w:rsidR="00F00856" w:rsidRPr="00581EA7" w:rsidRDefault="00F00856" w:rsidP="004C3719">
      <w:pPr>
        <w:pStyle w:val="Compact"/>
        <w:rPr>
          <w:sz w:val="24"/>
        </w:rPr>
      </w:pPr>
    </w:p>
    <w:p w14:paraId="34D0DA66" w14:textId="3AA468E9" w:rsidR="00F00856" w:rsidRPr="00581EA7" w:rsidRDefault="00F00856" w:rsidP="004C3719">
      <w:pPr>
        <w:pStyle w:val="Compact"/>
        <w:rPr>
          <w:sz w:val="24"/>
        </w:rPr>
      </w:pPr>
      <w:r w:rsidRPr="00581EA7">
        <w:rPr>
          <w:sz w:val="24"/>
        </w:rPr>
        <w:lastRenderedPageBreak/>
        <w:t xml:space="preserve">We will be in touch with you at the end of next month for your first check-in; we take pride in our analysis and work hard to ensure our customers have adequate follow-up to ensure continued success and partnership. We genuinely appreciate your trust and respect toward the data-driven work we conduct. If you have any questions, comments, or concerns please feel free to contact us at any time. </w:t>
      </w:r>
    </w:p>
    <w:p w14:paraId="71686A05" w14:textId="77777777" w:rsidR="00C83DD3" w:rsidRDefault="000D461F" w:rsidP="005B0C97">
      <w:pPr>
        <w:pStyle w:val="Heading1"/>
        <w:jc w:val="left"/>
      </w:pPr>
      <w:bookmarkStart w:id="9" w:name="lessons-learned"/>
      <w:bookmarkEnd w:id="9"/>
      <w:r>
        <w:t>Lessons Learned</w:t>
      </w:r>
    </w:p>
    <w:p w14:paraId="5FA0F09E" w14:textId="29D24545" w:rsidR="004C3719" w:rsidRPr="00581EA7" w:rsidRDefault="000473F8" w:rsidP="004C3719">
      <w:pPr>
        <w:pStyle w:val="Compact"/>
        <w:rPr>
          <w:sz w:val="24"/>
        </w:rPr>
      </w:pPr>
      <w:r w:rsidRPr="00581EA7">
        <w:rPr>
          <w:sz w:val="24"/>
        </w:rPr>
        <w:t>Overall, this was an incredible learning opportunity. One which affording me the ability to comprehensively self-assess my understanding and build my confidence in regard to the overall content of the course.</w:t>
      </w:r>
    </w:p>
    <w:p w14:paraId="7672B68D" w14:textId="77777777" w:rsidR="000473F8" w:rsidRPr="00581EA7" w:rsidRDefault="000473F8" w:rsidP="004C3719">
      <w:pPr>
        <w:pStyle w:val="Compact"/>
        <w:rPr>
          <w:sz w:val="24"/>
        </w:rPr>
      </w:pPr>
    </w:p>
    <w:p w14:paraId="653A1A6E" w14:textId="441629B7" w:rsidR="008E65BC" w:rsidRPr="00581EA7" w:rsidRDefault="000473F8" w:rsidP="004C3719">
      <w:pPr>
        <w:pStyle w:val="Compact"/>
        <w:rPr>
          <w:sz w:val="24"/>
        </w:rPr>
      </w:pPr>
      <w:r w:rsidRPr="00581EA7">
        <w:rPr>
          <w:sz w:val="24"/>
        </w:rPr>
        <w:t xml:space="preserve">Granted this is a small taste of what an actual data science project actually entails, I am very anxious to </w:t>
      </w:r>
      <w:r w:rsidR="008E65BC" w:rsidRPr="00581EA7">
        <w:rPr>
          <w:sz w:val="24"/>
        </w:rPr>
        <w:t>dig deep into the material throughout the remainder of this Master’s program. I most certainly made the correct decision in selecting this interesting, exciting, and ever-growing field!</w:t>
      </w:r>
    </w:p>
    <w:p w14:paraId="01A8CEE7" w14:textId="77777777" w:rsidR="008E65BC" w:rsidRDefault="008E65BC" w:rsidP="005B0C97">
      <w:pPr>
        <w:pStyle w:val="Heading2"/>
        <w:jc w:val="left"/>
      </w:pPr>
      <w:r>
        <w:t xml:space="preserve">What are the ethical implications for making forecasts using this case study? </w:t>
      </w:r>
    </w:p>
    <w:p w14:paraId="0114E2B4" w14:textId="6A0FDEC0" w:rsidR="008E65BC" w:rsidRPr="00581EA7" w:rsidRDefault="50E88736" w:rsidP="004C3719">
      <w:pPr>
        <w:pStyle w:val="Compact"/>
        <w:rPr>
          <w:rFonts w:cstheme="majorHAnsi"/>
          <w:sz w:val="24"/>
        </w:rPr>
      </w:pPr>
      <w:r w:rsidRPr="00581EA7">
        <w:rPr>
          <w:rFonts w:eastAsiaTheme="minorEastAsia" w:cstheme="majorHAnsi"/>
          <w:sz w:val="24"/>
        </w:rPr>
        <w:t>In regard to the ethical implications of making forecasts using this case study, they are varied and far-reaching. In order to answer this question wholly, I will break it into the sub-questions as presented in the project directive:</w:t>
      </w:r>
    </w:p>
    <w:p w14:paraId="48B616AD" w14:textId="77777777" w:rsidR="009B3001" w:rsidRPr="00581EA7" w:rsidRDefault="50E88736" w:rsidP="50E88736">
      <w:pPr>
        <w:pStyle w:val="ListParagraph"/>
        <w:widowControl w:val="0"/>
        <w:numPr>
          <w:ilvl w:val="0"/>
          <w:numId w:val="5"/>
        </w:numPr>
        <w:autoSpaceDE w:val="0"/>
        <w:autoSpaceDN w:val="0"/>
        <w:adjustRightInd w:val="0"/>
        <w:spacing w:after="240" w:line="300" w:lineRule="atLeast"/>
        <w:rPr>
          <w:rFonts w:eastAsia="Times" w:cstheme="majorHAnsi"/>
          <w:sz w:val="24"/>
        </w:rPr>
      </w:pPr>
      <w:r w:rsidRPr="00581EA7">
        <w:rPr>
          <w:rFonts w:eastAsiaTheme="minorEastAsia" w:cstheme="majorHAnsi"/>
          <w:b/>
          <w:bCs/>
          <w:sz w:val="24"/>
        </w:rPr>
        <w:t>Context:</w:t>
      </w:r>
      <w:r w:rsidRPr="00581EA7">
        <w:rPr>
          <w:rFonts w:eastAsiaTheme="minorEastAsia" w:cstheme="majorHAnsi"/>
          <w:sz w:val="24"/>
        </w:rPr>
        <w:t xml:space="preserve"> What was the original purpose of the collection? How close is the new use to its original purpose?</w:t>
      </w:r>
    </w:p>
    <w:p w14:paraId="272A18E1" w14:textId="77777777" w:rsidR="009B3001" w:rsidRPr="00581EA7" w:rsidRDefault="009B3001" w:rsidP="009B3001">
      <w:pPr>
        <w:pStyle w:val="ListParagraph"/>
        <w:widowControl w:val="0"/>
        <w:autoSpaceDE w:val="0"/>
        <w:autoSpaceDN w:val="0"/>
        <w:adjustRightInd w:val="0"/>
        <w:spacing w:after="240" w:line="300" w:lineRule="atLeast"/>
        <w:rPr>
          <w:rFonts w:cstheme="majorHAnsi"/>
          <w:b/>
          <w:sz w:val="24"/>
          <w:szCs w:val="26"/>
        </w:rPr>
      </w:pPr>
    </w:p>
    <w:p w14:paraId="00607340" w14:textId="0C90B987" w:rsidR="009B3001" w:rsidRPr="00581EA7" w:rsidRDefault="50E88736" w:rsidP="009B3001">
      <w:pPr>
        <w:pStyle w:val="ListParagraph"/>
        <w:widowControl w:val="0"/>
        <w:autoSpaceDE w:val="0"/>
        <w:autoSpaceDN w:val="0"/>
        <w:adjustRightInd w:val="0"/>
        <w:spacing w:after="240" w:line="300" w:lineRule="atLeast"/>
        <w:rPr>
          <w:rFonts w:cstheme="majorHAnsi"/>
          <w:sz w:val="24"/>
        </w:rPr>
      </w:pPr>
      <w:r w:rsidRPr="00581EA7">
        <w:rPr>
          <w:rFonts w:eastAsiaTheme="minorEastAsia" w:cstheme="majorHAnsi"/>
          <w:sz w:val="24"/>
        </w:rPr>
        <w:t>The original purpose of the data collection was related to the day-to-day operations of Fargo Health Group; in other words, the data was a side-effect of day-to-day operations, scheduling, and staffing constraints. Since this analysis ultimately impacts the ability of Fargo Health Group to meet the needs of their customers on a day-to-day basis (especially in regard to scheduling), I conclude that the data will help to redefine the very system from which it originated.</w:t>
      </w:r>
    </w:p>
    <w:p w14:paraId="1509495B" w14:textId="77777777" w:rsidR="009B3001" w:rsidRPr="00581EA7" w:rsidRDefault="009B3001" w:rsidP="009B3001">
      <w:pPr>
        <w:pStyle w:val="ListParagraph"/>
        <w:widowControl w:val="0"/>
        <w:autoSpaceDE w:val="0"/>
        <w:autoSpaceDN w:val="0"/>
        <w:adjustRightInd w:val="0"/>
        <w:spacing w:after="240" w:line="300" w:lineRule="atLeast"/>
        <w:rPr>
          <w:rFonts w:cstheme="majorHAnsi"/>
          <w:sz w:val="24"/>
        </w:rPr>
      </w:pPr>
    </w:p>
    <w:p w14:paraId="4C25AFF0" w14:textId="77777777" w:rsidR="009B3001" w:rsidRPr="00581EA7" w:rsidRDefault="50E88736" w:rsidP="50E88736">
      <w:pPr>
        <w:pStyle w:val="ListParagraph"/>
        <w:widowControl w:val="0"/>
        <w:numPr>
          <w:ilvl w:val="0"/>
          <w:numId w:val="5"/>
        </w:numPr>
        <w:autoSpaceDE w:val="0"/>
        <w:autoSpaceDN w:val="0"/>
        <w:adjustRightInd w:val="0"/>
        <w:spacing w:after="240" w:line="300" w:lineRule="atLeast"/>
        <w:rPr>
          <w:rFonts w:eastAsia="Times" w:cstheme="majorHAnsi"/>
          <w:sz w:val="24"/>
        </w:rPr>
      </w:pPr>
      <w:r w:rsidRPr="00581EA7">
        <w:rPr>
          <w:rFonts w:eastAsiaTheme="minorEastAsia" w:cstheme="majorHAnsi"/>
          <w:b/>
          <w:bCs/>
          <w:sz w:val="24"/>
        </w:rPr>
        <w:t>Consent:</w:t>
      </w:r>
      <w:r w:rsidRPr="00581EA7">
        <w:rPr>
          <w:rFonts w:eastAsiaTheme="minorEastAsia" w:cstheme="majorHAnsi"/>
          <w:sz w:val="24"/>
        </w:rPr>
        <w:t xml:space="preserve"> Was informed consent necessary from affected patients before data collection? If so, did they provide informed consent prior to data collection? Did they have an opportunity to decline?</w:t>
      </w:r>
    </w:p>
    <w:p w14:paraId="6B0E8A61" w14:textId="77777777" w:rsidR="009B3001" w:rsidRPr="00581EA7" w:rsidRDefault="009B3001" w:rsidP="009B3001">
      <w:pPr>
        <w:pStyle w:val="ListParagraph"/>
        <w:widowControl w:val="0"/>
        <w:autoSpaceDE w:val="0"/>
        <w:autoSpaceDN w:val="0"/>
        <w:adjustRightInd w:val="0"/>
        <w:spacing w:after="240" w:line="300" w:lineRule="atLeast"/>
        <w:rPr>
          <w:rFonts w:cstheme="majorHAnsi"/>
          <w:sz w:val="24"/>
        </w:rPr>
      </w:pPr>
    </w:p>
    <w:p w14:paraId="64BC4B46" w14:textId="5CDB7B1A" w:rsidR="009B3001" w:rsidRPr="00581EA7" w:rsidRDefault="50E88736" w:rsidP="009B3001">
      <w:pPr>
        <w:pStyle w:val="ListParagraph"/>
        <w:widowControl w:val="0"/>
        <w:autoSpaceDE w:val="0"/>
        <w:autoSpaceDN w:val="0"/>
        <w:adjustRightInd w:val="0"/>
        <w:spacing w:after="240" w:line="300" w:lineRule="atLeast"/>
        <w:rPr>
          <w:rFonts w:cstheme="majorHAnsi"/>
          <w:sz w:val="24"/>
        </w:rPr>
      </w:pPr>
      <w:r w:rsidRPr="00581EA7">
        <w:rPr>
          <w:rFonts w:eastAsiaTheme="minorEastAsia" w:cstheme="majorHAnsi"/>
          <w:sz w:val="24"/>
        </w:rPr>
        <w:t xml:space="preserve">Since the data was secondary to any official business, it represents a summarized overview of day-to-day operations across the clinics, and there is not personally identifiable information within the dataset I conclude that informed consent was not needed on the part of the patient. If this is in fact the case, the patient would not have been afforded the opportunity to decline the inclusion of their representative data in the dataset. </w:t>
      </w:r>
    </w:p>
    <w:p w14:paraId="27DFA7B2" w14:textId="77777777" w:rsidR="009B3001" w:rsidRPr="00581EA7" w:rsidRDefault="009B3001" w:rsidP="009B3001">
      <w:pPr>
        <w:pStyle w:val="ListParagraph"/>
        <w:widowControl w:val="0"/>
        <w:autoSpaceDE w:val="0"/>
        <w:autoSpaceDN w:val="0"/>
        <w:adjustRightInd w:val="0"/>
        <w:spacing w:after="240" w:line="300" w:lineRule="atLeast"/>
        <w:rPr>
          <w:rFonts w:cstheme="majorHAnsi"/>
          <w:sz w:val="24"/>
        </w:rPr>
      </w:pPr>
    </w:p>
    <w:p w14:paraId="56AF46B0" w14:textId="1ABCC9FA" w:rsidR="009B3001" w:rsidRPr="00581EA7" w:rsidRDefault="50E88736" w:rsidP="50E88736">
      <w:pPr>
        <w:pStyle w:val="ListParagraph"/>
        <w:widowControl w:val="0"/>
        <w:numPr>
          <w:ilvl w:val="0"/>
          <w:numId w:val="5"/>
        </w:numPr>
        <w:autoSpaceDE w:val="0"/>
        <w:autoSpaceDN w:val="0"/>
        <w:adjustRightInd w:val="0"/>
        <w:spacing w:after="240" w:line="300" w:lineRule="atLeast"/>
        <w:rPr>
          <w:rFonts w:eastAsia="Times" w:cstheme="majorHAnsi"/>
          <w:sz w:val="24"/>
        </w:rPr>
      </w:pPr>
      <w:r w:rsidRPr="00581EA7">
        <w:rPr>
          <w:rFonts w:eastAsiaTheme="minorEastAsia" w:cstheme="majorHAnsi"/>
          <w:b/>
          <w:bCs/>
          <w:sz w:val="24"/>
        </w:rPr>
        <w:t>Reasonability:</w:t>
      </w:r>
      <w:r w:rsidRPr="00581EA7">
        <w:rPr>
          <w:rFonts w:eastAsiaTheme="minorEastAsia" w:cstheme="majorHAnsi"/>
          <w:sz w:val="24"/>
        </w:rPr>
        <w:t xml:space="preserve"> Is the depth and breadth of the dataset reasonable for the forecast? </w:t>
      </w:r>
    </w:p>
    <w:p w14:paraId="5E4E2DEF" w14:textId="77777777" w:rsidR="00A63080" w:rsidRPr="00581EA7" w:rsidRDefault="00A63080" w:rsidP="00A63080">
      <w:pPr>
        <w:pStyle w:val="ListParagraph"/>
        <w:widowControl w:val="0"/>
        <w:autoSpaceDE w:val="0"/>
        <w:autoSpaceDN w:val="0"/>
        <w:adjustRightInd w:val="0"/>
        <w:spacing w:after="240" w:line="300" w:lineRule="atLeast"/>
        <w:rPr>
          <w:rFonts w:cstheme="majorHAnsi"/>
          <w:sz w:val="24"/>
        </w:rPr>
      </w:pPr>
    </w:p>
    <w:p w14:paraId="0B9617D4" w14:textId="37A3C6F5" w:rsidR="00A63080" w:rsidRPr="00581EA7" w:rsidRDefault="50E88736" w:rsidP="00A63080">
      <w:pPr>
        <w:pStyle w:val="ListParagraph"/>
        <w:widowControl w:val="0"/>
        <w:autoSpaceDE w:val="0"/>
        <w:autoSpaceDN w:val="0"/>
        <w:adjustRightInd w:val="0"/>
        <w:spacing w:after="240" w:line="300" w:lineRule="atLeast"/>
        <w:rPr>
          <w:rFonts w:cstheme="majorHAnsi"/>
          <w:sz w:val="24"/>
        </w:rPr>
      </w:pPr>
      <w:r w:rsidRPr="00581EA7">
        <w:rPr>
          <w:rFonts w:eastAsiaTheme="minorEastAsia" w:cstheme="majorHAnsi"/>
          <w:sz w:val="24"/>
        </w:rPr>
        <w:t>The depth and breadth of the dataset is suitable for strictly the analysis of the cardiovascular appointments schedules at the Abbeville location. Should Fargo Health Group have been interested in a complete, all-encompassing predictive model that included each of their 34 locations (separately and/or cumulatively) much more data would have been needed. For the scope of this forecast, the time span of data provided was ample in providing meaningful trending information for the forecasting models.</w:t>
      </w:r>
    </w:p>
    <w:p w14:paraId="784509CE" w14:textId="77777777" w:rsidR="00A63080" w:rsidRPr="00581EA7" w:rsidRDefault="00A63080" w:rsidP="00A63080">
      <w:pPr>
        <w:pStyle w:val="ListParagraph"/>
        <w:widowControl w:val="0"/>
        <w:autoSpaceDE w:val="0"/>
        <w:autoSpaceDN w:val="0"/>
        <w:adjustRightInd w:val="0"/>
        <w:spacing w:after="240" w:line="300" w:lineRule="atLeast"/>
        <w:rPr>
          <w:rFonts w:cstheme="majorHAnsi"/>
          <w:sz w:val="24"/>
        </w:rPr>
      </w:pPr>
    </w:p>
    <w:p w14:paraId="3D206C2B" w14:textId="0755B9A2" w:rsidR="009B3001" w:rsidRPr="00581EA7" w:rsidRDefault="50E88736" w:rsidP="50E88736">
      <w:pPr>
        <w:pStyle w:val="ListParagraph"/>
        <w:widowControl w:val="0"/>
        <w:numPr>
          <w:ilvl w:val="0"/>
          <w:numId w:val="5"/>
        </w:numPr>
        <w:autoSpaceDE w:val="0"/>
        <w:autoSpaceDN w:val="0"/>
        <w:adjustRightInd w:val="0"/>
        <w:spacing w:after="240" w:line="300" w:lineRule="atLeast"/>
        <w:rPr>
          <w:rFonts w:eastAsia="Times" w:cstheme="majorHAnsi"/>
          <w:sz w:val="24"/>
        </w:rPr>
      </w:pPr>
      <w:r w:rsidRPr="00581EA7">
        <w:rPr>
          <w:rFonts w:eastAsiaTheme="minorEastAsia" w:cstheme="majorHAnsi"/>
          <w:b/>
          <w:bCs/>
          <w:sz w:val="24"/>
        </w:rPr>
        <w:t>Fairness:</w:t>
      </w:r>
      <w:r w:rsidRPr="00581EA7">
        <w:rPr>
          <w:rFonts w:eastAsiaTheme="minorEastAsia" w:cstheme="majorHAnsi"/>
          <w:sz w:val="24"/>
        </w:rPr>
        <w:t xml:space="preserve"> Will the results be equitable for all parties (patients, Fargo Health, public health agencies, Fargo Health employees, etc.) when your forecasting model is deployed?</w:t>
      </w:r>
    </w:p>
    <w:p w14:paraId="271FBB00" w14:textId="5B0A0099" w:rsidR="00A63080" w:rsidRPr="00581EA7" w:rsidRDefault="50E88736" w:rsidP="00A63080">
      <w:pPr>
        <w:widowControl w:val="0"/>
        <w:autoSpaceDE w:val="0"/>
        <w:autoSpaceDN w:val="0"/>
        <w:adjustRightInd w:val="0"/>
        <w:spacing w:after="240" w:line="300" w:lineRule="atLeast"/>
        <w:ind w:left="720"/>
        <w:rPr>
          <w:rFonts w:cstheme="majorHAnsi"/>
          <w:sz w:val="24"/>
        </w:rPr>
      </w:pPr>
      <w:r w:rsidRPr="00581EA7">
        <w:rPr>
          <w:rFonts w:eastAsiaTheme="minorEastAsia" w:cstheme="majorHAnsi"/>
          <w:sz w:val="24"/>
        </w:rPr>
        <w:t>In general, the results of the model will be equitable for all parties involved. However, the implication that Fargo Health Group ultimately needs to hire additional medical staff in order to meet the demand for cardiovascular appointments indicates that the company may need to expand their office space if they do not have enough physical space to meet the needs of their customers. This further implies that there could be undue negative impact to some of their employees as they begin to outgrow their current health centers and/or local offices.</w:t>
      </w:r>
    </w:p>
    <w:p w14:paraId="3004CF27" w14:textId="52D3351B" w:rsidR="009B3001" w:rsidRPr="00581EA7" w:rsidRDefault="50E88736" w:rsidP="50E88736">
      <w:pPr>
        <w:pStyle w:val="ListParagraph"/>
        <w:widowControl w:val="0"/>
        <w:numPr>
          <w:ilvl w:val="0"/>
          <w:numId w:val="5"/>
        </w:numPr>
        <w:autoSpaceDE w:val="0"/>
        <w:autoSpaceDN w:val="0"/>
        <w:adjustRightInd w:val="0"/>
        <w:spacing w:after="240" w:line="300" w:lineRule="atLeast"/>
        <w:rPr>
          <w:rFonts w:eastAsia="Times" w:cstheme="majorHAnsi"/>
          <w:sz w:val="24"/>
        </w:rPr>
      </w:pPr>
      <w:r w:rsidRPr="00581EA7">
        <w:rPr>
          <w:rFonts w:eastAsiaTheme="minorEastAsia" w:cstheme="majorHAnsi"/>
          <w:b/>
          <w:bCs/>
          <w:sz w:val="24"/>
        </w:rPr>
        <w:t>Ownership:</w:t>
      </w:r>
      <w:r w:rsidRPr="00581EA7">
        <w:rPr>
          <w:rFonts w:eastAsiaTheme="minorEastAsia" w:cstheme="majorHAnsi"/>
          <w:sz w:val="24"/>
        </w:rPr>
        <w:t xml:space="preserve"> Who owns the dataset, analysis, and insights gleaned from data analysis? Is there a moral obligation for Fargo Health to act based on the forecasting model?</w:t>
      </w:r>
    </w:p>
    <w:p w14:paraId="2374CC6D" w14:textId="60FC7E02" w:rsidR="00A63080" w:rsidRPr="00581EA7" w:rsidRDefault="50E88736" w:rsidP="00A63080">
      <w:pPr>
        <w:widowControl w:val="0"/>
        <w:autoSpaceDE w:val="0"/>
        <w:autoSpaceDN w:val="0"/>
        <w:adjustRightInd w:val="0"/>
        <w:spacing w:after="240" w:line="300" w:lineRule="atLeast"/>
        <w:ind w:left="720"/>
        <w:rPr>
          <w:rFonts w:cstheme="majorHAnsi"/>
          <w:sz w:val="24"/>
        </w:rPr>
      </w:pPr>
      <w:r w:rsidRPr="00581EA7">
        <w:rPr>
          <w:rFonts w:eastAsiaTheme="minorEastAsia" w:cstheme="majorHAnsi"/>
          <w:sz w:val="24"/>
        </w:rPr>
        <w:t>Though the service was rendered by a consulting firm, the data, analysis, and insights were purchased (i.e. rendered as a service), and are thus owned by Fargo Health Group. I would like to note that the client company likely never gave the consulting company ownership of their data; the data is owned solely and exclusively by Fargo Health Group. Furthermore, while the consulting company made recommendations – and stands behind them – it is the sole decision of Fargo Health Group to decide if, when, and how to implement the proposed changes.</w:t>
      </w:r>
    </w:p>
    <w:p w14:paraId="4BBD520D" w14:textId="48F6337B" w:rsidR="00A63080" w:rsidRPr="00581EA7" w:rsidRDefault="50E88736" w:rsidP="50E88736">
      <w:pPr>
        <w:pStyle w:val="ListParagraph"/>
        <w:widowControl w:val="0"/>
        <w:numPr>
          <w:ilvl w:val="0"/>
          <w:numId w:val="5"/>
        </w:numPr>
        <w:autoSpaceDE w:val="0"/>
        <w:autoSpaceDN w:val="0"/>
        <w:adjustRightInd w:val="0"/>
        <w:spacing w:after="240" w:line="300" w:lineRule="atLeast"/>
        <w:rPr>
          <w:rFonts w:eastAsia="Times" w:cstheme="majorHAnsi"/>
          <w:sz w:val="24"/>
        </w:rPr>
      </w:pPr>
      <w:r w:rsidRPr="00581EA7">
        <w:rPr>
          <w:rFonts w:eastAsiaTheme="minorEastAsia" w:cstheme="majorHAnsi"/>
          <w:b/>
          <w:bCs/>
          <w:sz w:val="24"/>
        </w:rPr>
        <w:t>Accountability:</w:t>
      </w:r>
      <w:r w:rsidRPr="00581EA7">
        <w:rPr>
          <w:rFonts w:eastAsiaTheme="minorEastAsia" w:cstheme="majorHAnsi"/>
          <w:sz w:val="24"/>
        </w:rPr>
        <w:t xml:space="preserve"> Who is accountable for mistakes and unintended consequences in data collection and analysis? Can the affected parties check the results that affect them?</w:t>
      </w:r>
    </w:p>
    <w:p w14:paraId="2821E0E8" w14:textId="36EB5711" w:rsidR="00A63080" w:rsidRPr="00581EA7" w:rsidRDefault="50E88736" w:rsidP="00A63080">
      <w:pPr>
        <w:widowControl w:val="0"/>
        <w:autoSpaceDE w:val="0"/>
        <w:autoSpaceDN w:val="0"/>
        <w:adjustRightInd w:val="0"/>
        <w:spacing w:after="240" w:line="300" w:lineRule="atLeast"/>
        <w:ind w:left="720"/>
        <w:rPr>
          <w:rFonts w:cstheme="majorHAnsi"/>
          <w:sz w:val="24"/>
        </w:rPr>
      </w:pPr>
      <w:r w:rsidRPr="00581EA7">
        <w:rPr>
          <w:rFonts w:eastAsiaTheme="minorEastAsia" w:cstheme="majorHAnsi"/>
          <w:sz w:val="24"/>
        </w:rPr>
        <w:t>The consulting company is ultimately responsible for any mistakes and/or unintended consequences of the data analysis. While the execution of the recommendations is at the discretion of Fargo Health Group, the consulting company may experience harm to their reputation or credibility if errors in their analysis are found to cause financial harm, etc. to Fargo Health Group as a direct result of following their recommendation(s).</w:t>
      </w:r>
    </w:p>
    <w:p w14:paraId="7D77FE77" w14:textId="7B0BBBE1" w:rsidR="008C27D5" w:rsidRPr="00A63080" w:rsidRDefault="50E88736" w:rsidP="008C27D5">
      <w:pPr>
        <w:widowControl w:val="0"/>
        <w:autoSpaceDE w:val="0"/>
        <w:autoSpaceDN w:val="0"/>
        <w:adjustRightInd w:val="0"/>
        <w:spacing w:after="240" w:line="300" w:lineRule="atLeast"/>
        <w:rPr>
          <w:rFonts w:cs="Times"/>
        </w:rPr>
      </w:pPr>
      <w:r w:rsidRPr="00581EA7">
        <w:rPr>
          <w:rFonts w:eastAsiaTheme="minorEastAsia" w:cstheme="majorHAnsi"/>
          <w:sz w:val="24"/>
        </w:rPr>
        <w:t xml:space="preserve">To reiterate, the ethical implications of this case study are diverse and relatively subjective. But overall, all parties involved are ethically and morally responsible for their actions and the way in which they represent themselves. </w:t>
      </w:r>
    </w:p>
    <w:p w14:paraId="0C54FA35" w14:textId="330F8D0F" w:rsidR="004C3719" w:rsidRPr="004C3719" w:rsidRDefault="000D461F" w:rsidP="005B0C97">
      <w:pPr>
        <w:pStyle w:val="Heading1"/>
        <w:jc w:val="left"/>
      </w:pPr>
      <w:bookmarkStart w:id="10" w:name="references"/>
      <w:bookmarkEnd w:id="10"/>
      <w:r w:rsidRPr="50E88736">
        <w:rPr>
          <w:rFonts w:asciiTheme="minorHAnsi" w:eastAsiaTheme="minorEastAsia" w:hAnsiTheme="minorHAnsi" w:cstheme="minorBidi"/>
        </w:rPr>
        <w:lastRenderedPageBreak/>
        <w:t>References</w:t>
      </w:r>
    </w:p>
    <w:p w14:paraId="7AD66909" w14:textId="245F9616" w:rsidR="008954E2" w:rsidRPr="00581EA7" w:rsidRDefault="50E88736" w:rsidP="008954E2">
      <w:pPr>
        <w:pStyle w:val="BodyText"/>
        <w:ind w:left="720" w:hanging="720"/>
        <w:rPr>
          <w:rFonts w:cstheme="majorHAnsi"/>
          <w:sz w:val="24"/>
        </w:rPr>
      </w:pPr>
      <w:r w:rsidRPr="00581EA7">
        <w:rPr>
          <w:rFonts w:eastAsiaTheme="minorEastAsia" w:cstheme="majorHAnsi"/>
          <w:sz w:val="24"/>
        </w:rPr>
        <w:t xml:space="preserve">Davenport, T., &amp; Kim, J. (2013). </w:t>
      </w:r>
      <w:r w:rsidRPr="00581EA7">
        <w:rPr>
          <w:rFonts w:eastAsiaTheme="minorEastAsia" w:cstheme="majorHAnsi"/>
          <w:i/>
          <w:iCs/>
          <w:sz w:val="24"/>
        </w:rPr>
        <w:t>Keeping Up with the Quants</w:t>
      </w:r>
      <w:r w:rsidRPr="00581EA7">
        <w:rPr>
          <w:rFonts w:eastAsiaTheme="minorEastAsia" w:cstheme="majorHAnsi"/>
          <w:sz w:val="24"/>
        </w:rPr>
        <w:t>: Harvard Business Review Press.</w:t>
      </w:r>
    </w:p>
    <w:p w14:paraId="09F11AB2" w14:textId="77777777" w:rsidR="008954E2" w:rsidRPr="00581EA7" w:rsidRDefault="50E88736" w:rsidP="004C3719">
      <w:pPr>
        <w:pStyle w:val="BodyText"/>
        <w:rPr>
          <w:rFonts w:cstheme="majorHAnsi"/>
          <w:sz w:val="24"/>
        </w:rPr>
      </w:pPr>
      <w:r w:rsidRPr="00581EA7">
        <w:rPr>
          <w:rFonts w:eastAsiaTheme="minorEastAsia" w:cstheme="majorHAnsi"/>
          <w:sz w:val="24"/>
        </w:rPr>
        <w:t xml:space="preserve">Foreman, J. W. (2014). </w:t>
      </w:r>
      <w:r w:rsidRPr="00581EA7">
        <w:rPr>
          <w:rFonts w:eastAsiaTheme="minorEastAsia" w:cstheme="majorHAnsi"/>
          <w:i/>
          <w:iCs/>
          <w:sz w:val="24"/>
        </w:rPr>
        <w:t>Data Smart</w:t>
      </w:r>
      <w:r w:rsidRPr="00581EA7">
        <w:rPr>
          <w:rFonts w:eastAsiaTheme="minorEastAsia" w:cstheme="majorHAnsi"/>
          <w:sz w:val="24"/>
        </w:rPr>
        <w:t>. Indiana: Wiley.</w:t>
      </w:r>
    </w:p>
    <w:p w14:paraId="07C8CB85" w14:textId="77777777" w:rsidR="008954E2" w:rsidRPr="00581EA7" w:rsidRDefault="50E88736" w:rsidP="008954E2">
      <w:pPr>
        <w:widowControl w:val="0"/>
        <w:autoSpaceDE w:val="0"/>
        <w:autoSpaceDN w:val="0"/>
        <w:adjustRightInd w:val="0"/>
        <w:spacing w:after="0"/>
        <w:ind w:left="720" w:hanging="720"/>
        <w:rPr>
          <w:rFonts w:cstheme="majorHAnsi"/>
          <w:sz w:val="24"/>
        </w:rPr>
      </w:pPr>
      <w:r w:rsidRPr="00581EA7">
        <w:rPr>
          <w:rFonts w:eastAsiaTheme="minorEastAsia" w:cstheme="majorHAnsi"/>
          <w:sz w:val="24"/>
        </w:rPr>
        <w:t>Khachatryan, D. (2014). Fargo Health Group: Managing the Demand for Medical Examinations Using Predictive Analytics. In B. College (Ed.): Harvard Business Publishing.</w:t>
      </w:r>
    </w:p>
    <w:p w14:paraId="020D9B4B" w14:textId="77777777" w:rsidR="008954E2" w:rsidRPr="00581EA7" w:rsidRDefault="008954E2" w:rsidP="008954E2">
      <w:pPr>
        <w:widowControl w:val="0"/>
        <w:autoSpaceDE w:val="0"/>
        <w:autoSpaceDN w:val="0"/>
        <w:adjustRightInd w:val="0"/>
        <w:spacing w:after="0"/>
        <w:ind w:left="720" w:hanging="720"/>
        <w:rPr>
          <w:rFonts w:cstheme="majorHAnsi"/>
          <w:sz w:val="24"/>
        </w:rPr>
      </w:pPr>
    </w:p>
    <w:p w14:paraId="1B80D3CB" w14:textId="77777777" w:rsidR="008954E2" w:rsidRPr="00581EA7" w:rsidRDefault="50E88736" w:rsidP="008954E2">
      <w:pPr>
        <w:widowControl w:val="0"/>
        <w:autoSpaceDE w:val="0"/>
        <w:autoSpaceDN w:val="0"/>
        <w:adjustRightInd w:val="0"/>
        <w:spacing w:after="0"/>
        <w:ind w:left="720" w:hanging="720"/>
        <w:rPr>
          <w:rFonts w:cstheme="majorHAnsi"/>
          <w:sz w:val="24"/>
        </w:rPr>
      </w:pPr>
      <w:r w:rsidRPr="00581EA7">
        <w:rPr>
          <w:rFonts w:eastAsiaTheme="minorEastAsia" w:cstheme="majorHAnsi"/>
          <w:sz w:val="24"/>
        </w:rPr>
        <w:t xml:space="preserve">Zumel, N., &amp; Mount, J. (2014). </w:t>
      </w:r>
      <w:r w:rsidRPr="00581EA7">
        <w:rPr>
          <w:rFonts w:eastAsiaTheme="minorEastAsia" w:cstheme="majorHAnsi"/>
          <w:i/>
          <w:iCs/>
          <w:sz w:val="24"/>
        </w:rPr>
        <w:t>Practical Data Science with R</w:t>
      </w:r>
      <w:r w:rsidRPr="00581EA7">
        <w:rPr>
          <w:rFonts w:eastAsiaTheme="minorEastAsia" w:cstheme="majorHAnsi"/>
          <w:sz w:val="24"/>
        </w:rPr>
        <w:t xml:space="preserve"> (1 ed.): Manning.</w:t>
      </w:r>
    </w:p>
    <w:p w14:paraId="61D53197" w14:textId="54437BE4" w:rsidR="004C3719" w:rsidRPr="004C3719" w:rsidRDefault="004C3719" w:rsidP="004C3719">
      <w:pPr>
        <w:pStyle w:val="BodyText"/>
      </w:pPr>
      <w:r>
        <w:fldChar w:fldCharType="begin"/>
      </w:r>
      <w:r>
        <w:instrText xml:space="preserve"> ADDIN EN.REFLIST </w:instrText>
      </w:r>
      <w:r>
        <w:fldChar w:fldCharType="end"/>
      </w:r>
    </w:p>
    <w:sectPr w:rsidR="004C3719" w:rsidRPr="004C37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ECB0" w14:textId="77777777" w:rsidR="00935FD5" w:rsidRDefault="00935FD5">
      <w:pPr>
        <w:spacing w:after="0"/>
      </w:pPr>
      <w:r>
        <w:separator/>
      </w:r>
    </w:p>
  </w:endnote>
  <w:endnote w:type="continuationSeparator" w:id="0">
    <w:p w14:paraId="0DAFF6DF" w14:textId="77777777" w:rsidR="00935FD5" w:rsidRDefault="00935F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C320C" w14:textId="77777777" w:rsidR="00935FD5" w:rsidRDefault="00935FD5">
      <w:r>
        <w:separator/>
      </w:r>
    </w:p>
  </w:footnote>
  <w:footnote w:type="continuationSeparator" w:id="0">
    <w:p w14:paraId="16E7EB3F" w14:textId="77777777" w:rsidR="00935FD5" w:rsidRDefault="00935F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D51A73"/>
    <w:multiLevelType w:val="multilevel"/>
    <w:tmpl w:val="82CE8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D1AB26"/>
    <w:multiLevelType w:val="multilevel"/>
    <w:tmpl w:val="8D2899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F86F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6C4192F"/>
    <w:multiLevelType w:val="hybridMultilevel"/>
    <w:tmpl w:val="C7EEA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wr5xracwepp2e2zrlptvvis2rzxfpaf2xa&quot;&gt;My EndNote Library&lt;record-ids&gt;&lt;item&gt;1&lt;/item&gt;&lt;item&gt;3&lt;/item&gt;&lt;item&gt;14&lt;/item&gt;&lt;item&gt;15&lt;/item&gt;&lt;/record-ids&gt;&lt;/item&gt;&lt;/Libraries&gt;"/>
  </w:docVars>
  <w:rsids>
    <w:rsidRoot w:val="00590D07"/>
    <w:rsid w:val="00011C8B"/>
    <w:rsid w:val="000473F8"/>
    <w:rsid w:val="000D461F"/>
    <w:rsid w:val="00100813"/>
    <w:rsid w:val="00154635"/>
    <w:rsid w:val="00230A37"/>
    <w:rsid w:val="00236BEC"/>
    <w:rsid w:val="004B3E7A"/>
    <w:rsid w:val="004C3719"/>
    <w:rsid w:val="004E29B3"/>
    <w:rsid w:val="00581EA7"/>
    <w:rsid w:val="00590D07"/>
    <w:rsid w:val="005B0C97"/>
    <w:rsid w:val="005D10A4"/>
    <w:rsid w:val="00784D58"/>
    <w:rsid w:val="007E5871"/>
    <w:rsid w:val="008954E2"/>
    <w:rsid w:val="008C27D5"/>
    <w:rsid w:val="008D3FB7"/>
    <w:rsid w:val="008D6863"/>
    <w:rsid w:val="008E65BC"/>
    <w:rsid w:val="0091506A"/>
    <w:rsid w:val="00935FD5"/>
    <w:rsid w:val="009531FB"/>
    <w:rsid w:val="009B3001"/>
    <w:rsid w:val="009B7C58"/>
    <w:rsid w:val="009E5516"/>
    <w:rsid w:val="00A1152C"/>
    <w:rsid w:val="00A63080"/>
    <w:rsid w:val="00A87004"/>
    <w:rsid w:val="00AE1A55"/>
    <w:rsid w:val="00B50D0A"/>
    <w:rsid w:val="00B86B75"/>
    <w:rsid w:val="00BC48D5"/>
    <w:rsid w:val="00C35E99"/>
    <w:rsid w:val="00C36279"/>
    <w:rsid w:val="00C6281C"/>
    <w:rsid w:val="00C83DD3"/>
    <w:rsid w:val="00D409ED"/>
    <w:rsid w:val="00D57BF6"/>
    <w:rsid w:val="00E315A3"/>
    <w:rsid w:val="00E75383"/>
    <w:rsid w:val="00E802F4"/>
    <w:rsid w:val="00F00856"/>
    <w:rsid w:val="00FC1D37"/>
    <w:rsid w:val="00FF5348"/>
    <w:rsid w:val="50E887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82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8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1506A"/>
  </w:style>
  <w:style w:type="paragraph" w:styleId="Heading1">
    <w:name w:val="heading 1"/>
    <w:basedOn w:val="Normal"/>
    <w:next w:val="Normal"/>
    <w:link w:val="Heading1Char"/>
    <w:uiPriority w:val="9"/>
    <w:qFormat/>
    <w:rsid w:val="0091506A"/>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unhideWhenUsed/>
    <w:qFormat/>
    <w:rsid w:val="0091506A"/>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unhideWhenUsed/>
    <w:qFormat/>
    <w:rsid w:val="0091506A"/>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unhideWhenUsed/>
    <w:qFormat/>
    <w:rsid w:val="0091506A"/>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unhideWhenUsed/>
    <w:qFormat/>
    <w:rsid w:val="0091506A"/>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unhideWhenUsed/>
    <w:qFormat/>
    <w:rsid w:val="0091506A"/>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unhideWhenUsed/>
    <w:qFormat/>
    <w:rsid w:val="0091506A"/>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unhideWhenUsed/>
    <w:qFormat/>
    <w:rsid w:val="0091506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506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1506A"/>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paragraph" w:styleId="Subtitle">
    <w:name w:val="Subtitle"/>
    <w:basedOn w:val="Normal"/>
    <w:next w:val="Normal"/>
    <w:link w:val="SubtitleChar"/>
    <w:uiPriority w:val="11"/>
    <w:qFormat/>
    <w:rsid w:val="0091506A"/>
    <w:pPr>
      <w:spacing w:after="560" w:line="240" w:lineRule="auto"/>
      <w:jc w:val="center"/>
    </w:pPr>
    <w:rPr>
      <w:caps/>
      <w:spacing w:val="20"/>
      <w:sz w:val="18"/>
      <w:szCs w:val="1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1506A"/>
    <w:rPr>
      <w:caps/>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caps/>
      <w:spacing w:val="10"/>
      <w:sz w:val="18"/>
      <w:szCs w:val="18"/>
    </w:rPr>
  </w:style>
  <w:style w:type="character" w:customStyle="1" w:styleId="VerbatimChar">
    <w:name w:val="Verbatim Char"/>
    <w:basedOn w:val="CaptionChar"/>
    <w:link w:val="SourceCode"/>
    <w:rPr>
      <w:rFonts w:ascii="Consolas" w:hAnsi="Consolas"/>
      <w:caps/>
      <w:spacing w:val="10"/>
      <w:sz w:val="22"/>
      <w:szCs w:val="18"/>
    </w:rPr>
  </w:style>
  <w:style w:type="character" w:styleId="FootnoteReference">
    <w:name w:val="footnote reference"/>
    <w:basedOn w:val="CaptionChar"/>
    <w:rPr>
      <w:caps/>
      <w:spacing w:val="10"/>
      <w:sz w:val="18"/>
      <w:szCs w:val="18"/>
      <w:vertAlign w:val="superscript"/>
    </w:rPr>
  </w:style>
  <w:style w:type="character" w:styleId="Hyperlink">
    <w:name w:val="Hyperlink"/>
    <w:basedOn w:val="CaptionChar"/>
    <w:rPr>
      <w:caps/>
      <w:color w:val="4A66AC" w:themeColor="accent1"/>
      <w:spacing w:val="10"/>
      <w:sz w:val="18"/>
      <w:szCs w:val="18"/>
    </w:rPr>
  </w:style>
  <w:style w:type="paragraph" w:styleId="TOCHeading">
    <w:name w:val="TOC Heading"/>
    <w:basedOn w:val="Heading1"/>
    <w:next w:val="Normal"/>
    <w:uiPriority w:val="39"/>
    <w:unhideWhenUsed/>
    <w:qFormat/>
    <w:rsid w:val="0091506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aps/>
      <w:color w:val="204A87"/>
      <w:spacing w:val="10"/>
      <w:sz w:val="22"/>
      <w:szCs w:val="18"/>
      <w:shd w:val="clear" w:color="auto" w:fill="F8F8F8"/>
    </w:rPr>
  </w:style>
  <w:style w:type="character" w:customStyle="1" w:styleId="DataTypeTok">
    <w:name w:val="DataTypeTok"/>
    <w:basedOn w:val="VerbatimChar"/>
    <w:rPr>
      <w:rFonts w:ascii="Consolas" w:hAnsi="Consolas"/>
      <w:caps/>
      <w:color w:val="204A87"/>
      <w:spacing w:val="10"/>
      <w:sz w:val="22"/>
      <w:szCs w:val="18"/>
      <w:shd w:val="clear" w:color="auto" w:fill="F8F8F8"/>
    </w:rPr>
  </w:style>
  <w:style w:type="character" w:customStyle="1" w:styleId="DecValTok">
    <w:name w:val="DecValTok"/>
    <w:basedOn w:val="VerbatimChar"/>
    <w:rPr>
      <w:rFonts w:ascii="Consolas" w:hAnsi="Consolas"/>
      <w:caps/>
      <w:color w:val="0000CF"/>
      <w:spacing w:val="10"/>
      <w:sz w:val="22"/>
      <w:szCs w:val="18"/>
      <w:shd w:val="clear" w:color="auto" w:fill="F8F8F8"/>
    </w:rPr>
  </w:style>
  <w:style w:type="character" w:customStyle="1" w:styleId="BaseNTok">
    <w:name w:val="BaseNTok"/>
    <w:basedOn w:val="VerbatimChar"/>
    <w:rPr>
      <w:rFonts w:ascii="Consolas" w:hAnsi="Consolas"/>
      <w:caps/>
      <w:color w:val="0000CF"/>
      <w:spacing w:val="10"/>
      <w:sz w:val="22"/>
      <w:szCs w:val="18"/>
      <w:shd w:val="clear" w:color="auto" w:fill="F8F8F8"/>
    </w:rPr>
  </w:style>
  <w:style w:type="character" w:customStyle="1" w:styleId="FloatTok">
    <w:name w:val="FloatTok"/>
    <w:basedOn w:val="VerbatimChar"/>
    <w:rPr>
      <w:rFonts w:ascii="Consolas" w:hAnsi="Consolas"/>
      <w:caps/>
      <w:color w:val="0000CF"/>
      <w:spacing w:val="10"/>
      <w:sz w:val="22"/>
      <w:szCs w:val="18"/>
      <w:shd w:val="clear" w:color="auto" w:fill="F8F8F8"/>
    </w:rPr>
  </w:style>
  <w:style w:type="character" w:customStyle="1" w:styleId="ConstantTok">
    <w:name w:val="ConstantTok"/>
    <w:basedOn w:val="VerbatimChar"/>
    <w:rPr>
      <w:rFonts w:ascii="Consolas" w:hAnsi="Consolas"/>
      <w:caps/>
      <w:color w:val="000000"/>
      <w:spacing w:val="10"/>
      <w:sz w:val="22"/>
      <w:szCs w:val="18"/>
      <w:shd w:val="clear" w:color="auto" w:fill="F8F8F8"/>
    </w:rPr>
  </w:style>
  <w:style w:type="character" w:customStyle="1" w:styleId="CharTok">
    <w:name w:val="CharTok"/>
    <w:basedOn w:val="VerbatimChar"/>
    <w:rPr>
      <w:rFonts w:ascii="Consolas" w:hAnsi="Consolas"/>
      <w:caps/>
      <w:color w:val="4E9A06"/>
      <w:spacing w:val="10"/>
      <w:sz w:val="22"/>
      <w:szCs w:val="18"/>
      <w:shd w:val="clear" w:color="auto" w:fill="F8F8F8"/>
    </w:rPr>
  </w:style>
  <w:style w:type="character" w:customStyle="1" w:styleId="SpecialCharTok">
    <w:name w:val="SpecialCharTok"/>
    <w:basedOn w:val="VerbatimChar"/>
    <w:rPr>
      <w:rFonts w:ascii="Consolas" w:hAnsi="Consolas"/>
      <w:caps/>
      <w:color w:val="000000"/>
      <w:spacing w:val="10"/>
      <w:sz w:val="22"/>
      <w:szCs w:val="18"/>
      <w:shd w:val="clear" w:color="auto" w:fill="F8F8F8"/>
    </w:rPr>
  </w:style>
  <w:style w:type="character" w:customStyle="1" w:styleId="StringTok">
    <w:name w:val="StringTok"/>
    <w:basedOn w:val="VerbatimChar"/>
    <w:rPr>
      <w:rFonts w:ascii="Consolas" w:hAnsi="Consolas"/>
      <w:caps/>
      <w:color w:val="4E9A06"/>
      <w:spacing w:val="10"/>
      <w:sz w:val="22"/>
      <w:szCs w:val="18"/>
      <w:shd w:val="clear" w:color="auto" w:fill="F8F8F8"/>
    </w:rPr>
  </w:style>
  <w:style w:type="character" w:customStyle="1" w:styleId="VerbatimStringTok">
    <w:name w:val="VerbatimStringTok"/>
    <w:basedOn w:val="VerbatimChar"/>
    <w:rPr>
      <w:rFonts w:ascii="Consolas" w:hAnsi="Consolas"/>
      <w:caps/>
      <w:color w:val="4E9A06"/>
      <w:spacing w:val="10"/>
      <w:sz w:val="22"/>
      <w:szCs w:val="18"/>
      <w:shd w:val="clear" w:color="auto" w:fill="F8F8F8"/>
    </w:rPr>
  </w:style>
  <w:style w:type="character" w:customStyle="1" w:styleId="SpecialStringTok">
    <w:name w:val="SpecialStringTok"/>
    <w:basedOn w:val="VerbatimChar"/>
    <w:rPr>
      <w:rFonts w:ascii="Consolas" w:hAnsi="Consolas"/>
      <w:caps/>
      <w:color w:val="4E9A06"/>
      <w:spacing w:val="10"/>
      <w:sz w:val="22"/>
      <w:szCs w:val="18"/>
      <w:shd w:val="clear" w:color="auto" w:fill="F8F8F8"/>
    </w:rPr>
  </w:style>
  <w:style w:type="character" w:customStyle="1" w:styleId="ImportTok">
    <w:name w:val="ImportTok"/>
    <w:basedOn w:val="VerbatimChar"/>
    <w:rPr>
      <w:rFonts w:ascii="Consolas" w:hAnsi="Consolas"/>
      <w:caps/>
      <w:spacing w:val="10"/>
      <w:sz w:val="22"/>
      <w:szCs w:val="18"/>
      <w:shd w:val="clear" w:color="auto" w:fill="F8F8F8"/>
    </w:rPr>
  </w:style>
  <w:style w:type="character" w:customStyle="1" w:styleId="CommentTok">
    <w:name w:val="CommentTok"/>
    <w:basedOn w:val="VerbatimChar"/>
    <w:rPr>
      <w:rFonts w:ascii="Consolas" w:hAnsi="Consolas"/>
      <w:i/>
      <w:caps/>
      <w:color w:val="8F5902"/>
      <w:spacing w:val="10"/>
      <w:sz w:val="22"/>
      <w:szCs w:val="18"/>
      <w:shd w:val="clear" w:color="auto" w:fill="F8F8F8"/>
    </w:rPr>
  </w:style>
  <w:style w:type="character" w:customStyle="1" w:styleId="DocumentationTok">
    <w:name w:val="DocumentationTok"/>
    <w:basedOn w:val="VerbatimChar"/>
    <w:rPr>
      <w:rFonts w:ascii="Consolas" w:hAnsi="Consolas"/>
      <w:b/>
      <w:i/>
      <w:caps/>
      <w:color w:val="8F5902"/>
      <w:spacing w:val="10"/>
      <w:sz w:val="22"/>
      <w:szCs w:val="18"/>
      <w:shd w:val="clear" w:color="auto" w:fill="F8F8F8"/>
    </w:rPr>
  </w:style>
  <w:style w:type="character" w:customStyle="1" w:styleId="AnnotationTok">
    <w:name w:val="AnnotationTok"/>
    <w:basedOn w:val="VerbatimChar"/>
    <w:rPr>
      <w:rFonts w:ascii="Consolas" w:hAnsi="Consolas"/>
      <w:b/>
      <w:i/>
      <w:caps/>
      <w:color w:val="8F5902"/>
      <w:spacing w:val="10"/>
      <w:sz w:val="22"/>
      <w:szCs w:val="18"/>
      <w:shd w:val="clear" w:color="auto" w:fill="F8F8F8"/>
    </w:rPr>
  </w:style>
  <w:style w:type="character" w:customStyle="1" w:styleId="CommentVarTok">
    <w:name w:val="CommentVarTok"/>
    <w:basedOn w:val="VerbatimChar"/>
    <w:rPr>
      <w:rFonts w:ascii="Consolas" w:hAnsi="Consolas"/>
      <w:b/>
      <w:i/>
      <w:caps/>
      <w:color w:val="8F5902"/>
      <w:spacing w:val="10"/>
      <w:sz w:val="22"/>
      <w:szCs w:val="18"/>
      <w:shd w:val="clear" w:color="auto" w:fill="F8F8F8"/>
    </w:rPr>
  </w:style>
  <w:style w:type="character" w:customStyle="1" w:styleId="OtherTok">
    <w:name w:val="OtherTok"/>
    <w:basedOn w:val="VerbatimChar"/>
    <w:rPr>
      <w:rFonts w:ascii="Consolas" w:hAnsi="Consolas"/>
      <w:caps/>
      <w:color w:val="8F5902"/>
      <w:spacing w:val="10"/>
      <w:sz w:val="22"/>
      <w:szCs w:val="18"/>
      <w:shd w:val="clear" w:color="auto" w:fill="F8F8F8"/>
    </w:rPr>
  </w:style>
  <w:style w:type="character" w:customStyle="1" w:styleId="FunctionTok">
    <w:name w:val="FunctionTok"/>
    <w:basedOn w:val="VerbatimChar"/>
    <w:rPr>
      <w:rFonts w:ascii="Consolas" w:hAnsi="Consolas"/>
      <w:caps/>
      <w:color w:val="000000"/>
      <w:spacing w:val="10"/>
      <w:sz w:val="22"/>
      <w:szCs w:val="18"/>
      <w:shd w:val="clear" w:color="auto" w:fill="F8F8F8"/>
    </w:rPr>
  </w:style>
  <w:style w:type="character" w:customStyle="1" w:styleId="VariableTok">
    <w:name w:val="VariableTok"/>
    <w:basedOn w:val="VerbatimChar"/>
    <w:rPr>
      <w:rFonts w:ascii="Consolas" w:hAnsi="Consolas"/>
      <w:caps/>
      <w:color w:val="000000"/>
      <w:spacing w:val="10"/>
      <w:sz w:val="22"/>
      <w:szCs w:val="18"/>
      <w:shd w:val="clear" w:color="auto" w:fill="F8F8F8"/>
    </w:rPr>
  </w:style>
  <w:style w:type="character" w:customStyle="1" w:styleId="ControlFlowTok">
    <w:name w:val="ControlFlowTok"/>
    <w:basedOn w:val="VerbatimChar"/>
    <w:rPr>
      <w:rFonts w:ascii="Consolas" w:hAnsi="Consolas"/>
      <w:b/>
      <w:caps/>
      <w:color w:val="204A87"/>
      <w:spacing w:val="10"/>
      <w:sz w:val="22"/>
      <w:szCs w:val="18"/>
      <w:shd w:val="clear" w:color="auto" w:fill="F8F8F8"/>
    </w:rPr>
  </w:style>
  <w:style w:type="character" w:customStyle="1" w:styleId="OperatorTok">
    <w:name w:val="OperatorTok"/>
    <w:basedOn w:val="VerbatimChar"/>
    <w:rPr>
      <w:rFonts w:ascii="Consolas" w:hAnsi="Consolas"/>
      <w:b/>
      <w:caps/>
      <w:color w:val="CE5C00"/>
      <w:spacing w:val="10"/>
      <w:sz w:val="22"/>
      <w:szCs w:val="18"/>
      <w:shd w:val="clear" w:color="auto" w:fill="F8F8F8"/>
    </w:rPr>
  </w:style>
  <w:style w:type="character" w:customStyle="1" w:styleId="BuiltInTok">
    <w:name w:val="BuiltInTok"/>
    <w:basedOn w:val="VerbatimChar"/>
    <w:rPr>
      <w:rFonts w:ascii="Consolas" w:hAnsi="Consolas"/>
      <w:caps/>
      <w:spacing w:val="10"/>
      <w:sz w:val="22"/>
      <w:szCs w:val="18"/>
      <w:shd w:val="clear" w:color="auto" w:fill="F8F8F8"/>
    </w:rPr>
  </w:style>
  <w:style w:type="character" w:customStyle="1" w:styleId="ExtensionTok">
    <w:name w:val="ExtensionTok"/>
    <w:basedOn w:val="VerbatimChar"/>
    <w:rPr>
      <w:rFonts w:ascii="Consolas" w:hAnsi="Consolas"/>
      <w:caps/>
      <w:spacing w:val="10"/>
      <w:sz w:val="22"/>
      <w:szCs w:val="18"/>
      <w:shd w:val="clear" w:color="auto" w:fill="F8F8F8"/>
    </w:rPr>
  </w:style>
  <w:style w:type="character" w:customStyle="1" w:styleId="PreprocessorTok">
    <w:name w:val="PreprocessorTok"/>
    <w:basedOn w:val="VerbatimChar"/>
    <w:rPr>
      <w:rFonts w:ascii="Consolas" w:hAnsi="Consolas"/>
      <w:i/>
      <w:caps/>
      <w:color w:val="8F5902"/>
      <w:spacing w:val="10"/>
      <w:sz w:val="22"/>
      <w:szCs w:val="18"/>
      <w:shd w:val="clear" w:color="auto" w:fill="F8F8F8"/>
    </w:rPr>
  </w:style>
  <w:style w:type="character" w:customStyle="1" w:styleId="AttributeTok">
    <w:name w:val="AttributeTok"/>
    <w:basedOn w:val="VerbatimChar"/>
    <w:rPr>
      <w:rFonts w:ascii="Consolas" w:hAnsi="Consolas"/>
      <w:caps/>
      <w:color w:val="C4A000"/>
      <w:spacing w:val="10"/>
      <w:sz w:val="22"/>
      <w:szCs w:val="18"/>
      <w:shd w:val="clear" w:color="auto" w:fill="F8F8F8"/>
    </w:rPr>
  </w:style>
  <w:style w:type="character" w:customStyle="1" w:styleId="RegionMarkerTok">
    <w:name w:val="RegionMarkerTok"/>
    <w:basedOn w:val="VerbatimChar"/>
    <w:rPr>
      <w:rFonts w:ascii="Consolas" w:hAnsi="Consolas"/>
      <w:caps/>
      <w:spacing w:val="10"/>
      <w:sz w:val="22"/>
      <w:szCs w:val="18"/>
      <w:shd w:val="clear" w:color="auto" w:fill="F8F8F8"/>
    </w:rPr>
  </w:style>
  <w:style w:type="character" w:customStyle="1" w:styleId="InformationTok">
    <w:name w:val="InformationTok"/>
    <w:basedOn w:val="VerbatimChar"/>
    <w:rPr>
      <w:rFonts w:ascii="Consolas" w:hAnsi="Consolas"/>
      <w:b/>
      <w:i/>
      <w:caps/>
      <w:color w:val="8F5902"/>
      <w:spacing w:val="10"/>
      <w:sz w:val="22"/>
      <w:szCs w:val="18"/>
      <w:shd w:val="clear" w:color="auto" w:fill="F8F8F8"/>
    </w:rPr>
  </w:style>
  <w:style w:type="character" w:customStyle="1" w:styleId="WarningTok">
    <w:name w:val="WarningTok"/>
    <w:basedOn w:val="VerbatimChar"/>
    <w:rPr>
      <w:rFonts w:ascii="Consolas" w:hAnsi="Consolas"/>
      <w:b/>
      <w:i/>
      <w:caps/>
      <w:color w:val="8F5902"/>
      <w:spacing w:val="10"/>
      <w:sz w:val="22"/>
      <w:szCs w:val="18"/>
      <w:shd w:val="clear" w:color="auto" w:fill="F8F8F8"/>
    </w:rPr>
  </w:style>
  <w:style w:type="character" w:customStyle="1" w:styleId="AlertTok">
    <w:name w:val="AlertTok"/>
    <w:basedOn w:val="VerbatimChar"/>
    <w:rPr>
      <w:rFonts w:ascii="Consolas" w:hAnsi="Consolas"/>
      <w:caps/>
      <w:color w:val="EF2929"/>
      <w:spacing w:val="10"/>
      <w:sz w:val="22"/>
      <w:szCs w:val="18"/>
      <w:shd w:val="clear" w:color="auto" w:fill="F8F8F8"/>
    </w:rPr>
  </w:style>
  <w:style w:type="character" w:customStyle="1" w:styleId="ErrorTok">
    <w:name w:val="ErrorTok"/>
    <w:basedOn w:val="VerbatimChar"/>
    <w:rPr>
      <w:rFonts w:ascii="Consolas" w:hAnsi="Consolas"/>
      <w:b/>
      <w:caps/>
      <w:color w:val="A40000"/>
      <w:spacing w:val="10"/>
      <w:sz w:val="22"/>
      <w:szCs w:val="18"/>
      <w:shd w:val="clear" w:color="auto" w:fill="F8F8F8"/>
    </w:rPr>
  </w:style>
  <w:style w:type="character" w:customStyle="1" w:styleId="NormalTok">
    <w:name w:val="NormalTok"/>
    <w:basedOn w:val="VerbatimChar"/>
    <w:rPr>
      <w:rFonts w:ascii="Consolas" w:hAnsi="Consolas"/>
      <w:caps/>
      <w:spacing w:val="10"/>
      <w:sz w:val="22"/>
      <w:szCs w:val="18"/>
      <w:shd w:val="clear" w:color="auto" w:fill="F8F8F8"/>
    </w:rPr>
  </w:style>
  <w:style w:type="paragraph" w:customStyle="1" w:styleId="EndNoteBibliographyTitle">
    <w:name w:val="EndNote Bibliography Title"/>
    <w:basedOn w:val="Normal"/>
    <w:rsid w:val="00A87004"/>
    <w:pPr>
      <w:spacing w:after="0"/>
      <w:jc w:val="center"/>
    </w:pPr>
    <w:rPr>
      <w:rFonts w:ascii="Cambria" w:hAnsi="Cambria"/>
    </w:rPr>
  </w:style>
  <w:style w:type="paragraph" w:customStyle="1" w:styleId="EndNoteBibliography">
    <w:name w:val="EndNote Bibliography"/>
    <w:basedOn w:val="Normal"/>
    <w:rsid w:val="00A87004"/>
    <w:rPr>
      <w:rFonts w:ascii="Cambria" w:hAnsi="Cambria"/>
    </w:rPr>
  </w:style>
  <w:style w:type="paragraph" w:styleId="DocumentMap">
    <w:name w:val="Document Map"/>
    <w:basedOn w:val="Normal"/>
    <w:link w:val="DocumentMapChar"/>
    <w:semiHidden/>
    <w:unhideWhenUsed/>
    <w:rsid w:val="00154635"/>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154635"/>
    <w:rPr>
      <w:rFonts w:ascii="Times New Roman" w:hAnsi="Times New Roman" w:cs="Times New Roman"/>
    </w:rPr>
  </w:style>
  <w:style w:type="paragraph" w:styleId="ListParagraph">
    <w:name w:val="List Paragraph"/>
    <w:basedOn w:val="Normal"/>
    <w:uiPriority w:val="34"/>
    <w:qFormat/>
    <w:rsid w:val="0091506A"/>
    <w:pPr>
      <w:ind w:left="720"/>
      <w:contextualSpacing/>
    </w:p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8"/>
      <w:szCs w:val="18"/>
    </w:rPr>
  </w:style>
  <w:style w:type="paragraph" w:styleId="BalloonText">
    <w:name w:val="Balloon Text"/>
    <w:basedOn w:val="Normal"/>
    <w:link w:val="BalloonTextChar"/>
    <w:semiHidden/>
    <w:unhideWhenUsed/>
    <w:rsid w:val="00D57BF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57BF6"/>
    <w:rPr>
      <w:rFonts w:ascii="Times New Roman" w:hAnsi="Times New Roman" w:cs="Times New Roman"/>
      <w:sz w:val="18"/>
      <w:szCs w:val="18"/>
    </w:rPr>
  </w:style>
  <w:style w:type="character" w:customStyle="1" w:styleId="Heading1Char">
    <w:name w:val="Heading 1 Char"/>
    <w:basedOn w:val="DefaultParagraphFont"/>
    <w:link w:val="Heading1"/>
    <w:uiPriority w:val="9"/>
    <w:rsid w:val="0091506A"/>
    <w:rPr>
      <w:caps/>
      <w:color w:val="234F77" w:themeColor="accent2" w:themeShade="80"/>
      <w:spacing w:val="20"/>
      <w:sz w:val="28"/>
      <w:szCs w:val="28"/>
    </w:rPr>
  </w:style>
  <w:style w:type="character" w:customStyle="1" w:styleId="Heading2Char">
    <w:name w:val="Heading 2 Char"/>
    <w:basedOn w:val="DefaultParagraphFont"/>
    <w:link w:val="Heading2"/>
    <w:uiPriority w:val="9"/>
    <w:rsid w:val="0091506A"/>
    <w:rPr>
      <w:caps/>
      <w:color w:val="234F77" w:themeColor="accent2" w:themeShade="80"/>
      <w:spacing w:val="15"/>
      <w:sz w:val="24"/>
      <w:szCs w:val="24"/>
    </w:rPr>
  </w:style>
  <w:style w:type="character" w:customStyle="1" w:styleId="Heading3Char">
    <w:name w:val="Heading 3 Char"/>
    <w:basedOn w:val="DefaultParagraphFont"/>
    <w:link w:val="Heading3"/>
    <w:uiPriority w:val="9"/>
    <w:rsid w:val="0091506A"/>
    <w:rPr>
      <w:caps/>
      <w:color w:val="224E76" w:themeColor="accent2" w:themeShade="7F"/>
      <w:sz w:val="24"/>
      <w:szCs w:val="24"/>
    </w:rPr>
  </w:style>
  <w:style w:type="character" w:customStyle="1" w:styleId="Heading4Char">
    <w:name w:val="Heading 4 Char"/>
    <w:basedOn w:val="DefaultParagraphFont"/>
    <w:link w:val="Heading4"/>
    <w:uiPriority w:val="9"/>
    <w:rsid w:val="0091506A"/>
    <w:rPr>
      <w:caps/>
      <w:color w:val="224E76" w:themeColor="accent2" w:themeShade="7F"/>
      <w:spacing w:val="10"/>
    </w:rPr>
  </w:style>
  <w:style w:type="character" w:customStyle="1" w:styleId="Heading5Char">
    <w:name w:val="Heading 5 Char"/>
    <w:basedOn w:val="DefaultParagraphFont"/>
    <w:link w:val="Heading5"/>
    <w:uiPriority w:val="9"/>
    <w:rsid w:val="0091506A"/>
    <w:rPr>
      <w:caps/>
      <w:color w:val="224E76" w:themeColor="accent2" w:themeShade="7F"/>
      <w:spacing w:val="10"/>
    </w:rPr>
  </w:style>
  <w:style w:type="character" w:customStyle="1" w:styleId="Heading6Char">
    <w:name w:val="Heading 6 Char"/>
    <w:basedOn w:val="DefaultParagraphFont"/>
    <w:link w:val="Heading6"/>
    <w:uiPriority w:val="9"/>
    <w:rsid w:val="0091506A"/>
    <w:rPr>
      <w:caps/>
      <w:color w:val="3476B1" w:themeColor="accent2" w:themeShade="BF"/>
      <w:spacing w:val="10"/>
    </w:rPr>
  </w:style>
  <w:style w:type="character" w:customStyle="1" w:styleId="Heading7Char">
    <w:name w:val="Heading 7 Char"/>
    <w:basedOn w:val="DefaultParagraphFont"/>
    <w:link w:val="Heading7"/>
    <w:uiPriority w:val="9"/>
    <w:rsid w:val="0091506A"/>
    <w:rPr>
      <w:i/>
      <w:iCs/>
      <w:caps/>
      <w:color w:val="3476B1" w:themeColor="accent2" w:themeShade="BF"/>
      <w:spacing w:val="10"/>
    </w:rPr>
  </w:style>
  <w:style w:type="character" w:customStyle="1" w:styleId="Heading8Char">
    <w:name w:val="Heading 8 Char"/>
    <w:basedOn w:val="DefaultParagraphFont"/>
    <w:link w:val="Heading8"/>
    <w:uiPriority w:val="9"/>
    <w:rsid w:val="0091506A"/>
    <w:rPr>
      <w:caps/>
      <w:spacing w:val="10"/>
      <w:sz w:val="20"/>
      <w:szCs w:val="20"/>
    </w:rPr>
  </w:style>
  <w:style w:type="character" w:customStyle="1" w:styleId="Heading9Char">
    <w:name w:val="Heading 9 Char"/>
    <w:basedOn w:val="DefaultParagraphFont"/>
    <w:link w:val="Heading9"/>
    <w:uiPriority w:val="9"/>
    <w:semiHidden/>
    <w:rsid w:val="0091506A"/>
    <w:rPr>
      <w:i/>
      <w:iCs/>
      <w:caps/>
      <w:spacing w:val="10"/>
      <w:sz w:val="20"/>
      <w:szCs w:val="20"/>
    </w:rPr>
  </w:style>
  <w:style w:type="character" w:customStyle="1" w:styleId="TitleChar">
    <w:name w:val="Title Char"/>
    <w:basedOn w:val="DefaultParagraphFont"/>
    <w:link w:val="Title"/>
    <w:uiPriority w:val="10"/>
    <w:rsid w:val="0091506A"/>
    <w:rPr>
      <w:caps/>
      <w:color w:val="234F77" w:themeColor="accent2" w:themeShade="80"/>
      <w:spacing w:val="50"/>
      <w:sz w:val="44"/>
      <w:szCs w:val="44"/>
    </w:rPr>
  </w:style>
  <w:style w:type="character" w:customStyle="1" w:styleId="SubtitleChar">
    <w:name w:val="Subtitle Char"/>
    <w:basedOn w:val="DefaultParagraphFont"/>
    <w:link w:val="Subtitle"/>
    <w:uiPriority w:val="11"/>
    <w:rsid w:val="0091506A"/>
    <w:rPr>
      <w:caps/>
      <w:spacing w:val="20"/>
      <w:sz w:val="18"/>
      <w:szCs w:val="18"/>
    </w:rPr>
  </w:style>
  <w:style w:type="character" w:styleId="Strong">
    <w:name w:val="Strong"/>
    <w:uiPriority w:val="22"/>
    <w:qFormat/>
    <w:rsid w:val="0091506A"/>
    <w:rPr>
      <w:b/>
      <w:bCs/>
      <w:color w:val="3476B1" w:themeColor="accent2" w:themeShade="BF"/>
      <w:spacing w:val="5"/>
    </w:rPr>
  </w:style>
  <w:style w:type="character" w:styleId="Emphasis">
    <w:name w:val="Emphasis"/>
    <w:uiPriority w:val="20"/>
    <w:qFormat/>
    <w:rsid w:val="0091506A"/>
    <w:rPr>
      <w:caps/>
      <w:spacing w:val="5"/>
      <w:sz w:val="20"/>
      <w:szCs w:val="20"/>
    </w:rPr>
  </w:style>
  <w:style w:type="paragraph" w:styleId="NoSpacing">
    <w:name w:val="No Spacing"/>
    <w:basedOn w:val="Normal"/>
    <w:link w:val="NoSpacingChar"/>
    <w:uiPriority w:val="1"/>
    <w:qFormat/>
    <w:rsid w:val="0091506A"/>
    <w:pPr>
      <w:spacing w:after="0" w:line="240" w:lineRule="auto"/>
    </w:pPr>
  </w:style>
  <w:style w:type="paragraph" w:styleId="Quote">
    <w:name w:val="Quote"/>
    <w:basedOn w:val="Normal"/>
    <w:next w:val="Normal"/>
    <w:link w:val="QuoteChar"/>
    <w:uiPriority w:val="29"/>
    <w:qFormat/>
    <w:rsid w:val="0091506A"/>
    <w:rPr>
      <w:i/>
      <w:iCs/>
    </w:rPr>
  </w:style>
  <w:style w:type="character" w:customStyle="1" w:styleId="QuoteChar">
    <w:name w:val="Quote Char"/>
    <w:basedOn w:val="DefaultParagraphFont"/>
    <w:link w:val="Quote"/>
    <w:uiPriority w:val="29"/>
    <w:rsid w:val="0091506A"/>
    <w:rPr>
      <w:i/>
      <w:iCs/>
    </w:rPr>
  </w:style>
  <w:style w:type="paragraph" w:styleId="IntenseQuote">
    <w:name w:val="Intense Quote"/>
    <w:basedOn w:val="Normal"/>
    <w:next w:val="Normal"/>
    <w:link w:val="IntenseQuoteChar"/>
    <w:uiPriority w:val="30"/>
    <w:qFormat/>
    <w:rsid w:val="0091506A"/>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91506A"/>
    <w:rPr>
      <w:caps/>
      <w:color w:val="224E76" w:themeColor="accent2" w:themeShade="7F"/>
      <w:spacing w:val="5"/>
      <w:sz w:val="20"/>
      <w:szCs w:val="20"/>
    </w:rPr>
  </w:style>
  <w:style w:type="character" w:styleId="SubtleEmphasis">
    <w:name w:val="Subtle Emphasis"/>
    <w:uiPriority w:val="19"/>
    <w:qFormat/>
    <w:rsid w:val="0091506A"/>
    <w:rPr>
      <w:i/>
      <w:iCs/>
    </w:rPr>
  </w:style>
  <w:style w:type="character" w:styleId="IntenseEmphasis">
    <w:name w:val="Intense Emphasis"/>
    <w:uiPriority w:val="21"/>
    <w:qFormat/>
    <w:rsid w:val="0091506A"/>
    <w:rPr>
      <w:i/>
      <w:iCs/>
      <w:caps/>
      <w:spacing w:val="10"/>
      <w:sz w:val="20"/>
      <w:szCs w:val="20"/>
    </w:rPr>
  </w:style>
  <w:style w:type="character" w:styleId="SubtleReference">
    <w:name w:val="Subtle Reference"/>
    <w:basedOn w:val="DefaultParagraphFont"/>
    <w:uiPriority w:val="31"/>
    <w:qFormat/>
    <w:rsid w:val="0091506A"/>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91506A"/>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91506A"/>
    <w:rPr>
      <w:caps/>
      <w:color w:val="224E76" w:themeColor="accent2" w:themeShade="7F"/>
      <w:spacing w:val="5"/>
      <w:u w:color="224E76" w:themeColor="accent2" w:themeShade="7F"/>
    </w:rPr>
  </w:style>
  <w:style w:type="character" w:customStyle="1" w:styleId="NoSpacingChar">
    <w:name w:val="No Spacing Char"/>
    <w:basedOn w:val="DefaultParagraphFont"/>
    <w:link w:val="NoSpacing"/>
    <w:uiPriority w:val="1"/>
    <w:rsid w:val="0091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4CF759-FA92-C841-980D-9554B3AC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2138</Words>
  <Characters>12193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Fargo Health Group Deliverable Report</vt:lpstr>
    </vt:vector>
  </TitlesOfParts>
  <LinksUpToDate>false</LinksUpToDate>
  <CharactersWithSpaces>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Fargo Health Group Deliverable Report</dc:title>
  <dc:creator>Tyler Peters</dc:creator>
  <cp:lastModifiedBy>T Peters</cp:lastModifiedBy>
  <cp:revision>18</cp:revision>
  <dcterms:created xsi:type="dcterms:W3CDTF">2016-08-19T08:15:00Z</dcterms:created>
  <dcterms:modified xsi:type="dcterms:W3CDTF">2016-08-20T00:49:00Z</dcterms:modified>
</cp:coreProperties>
</file>