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F3851" w14:textId="096A7748" w:rsidR="004F4E02" w:rsidRDefault="004F4E02" w:rsidP="004F4E02">
      <w:pPr>
        <w:spacing w:line="240" w:lineRule="exact"/>
        <w:ind w:firstLine="720"/>
        <w:jc w:val="center"/>
      </w:pPr>
      <w:r>
        <w:t>Background Paper Review for Final Project</w:t>
      </w:r>
    </w:p>
    <w:p w14:paraId="35801E1B" w14:textId="5DE2A841" w:rsidR="004F4E02" w:rsidRDefault="004F4E02" w:rsidP="004F4E02">
      <w:pPr>
        <w:spacing w:line="240" w:lineRule="exact"/>
        <w:ind w:firstLine="720"/>
        <w:jc w:val="center"/>
      </w:pPr>
      <w:r>
        <w:t>Tyler J. Reich</w:t>
      </w:r>
    </w:p>
    <w:p w14:paraId="5BDCE10F" w14:textId="383AAE58" w:rsidR="004F4E02" w:rsidRPr="00614F88" w:rsidRDefault="004F4E02" w:rsidP="004F4E02">
      <w:pPr>
        <w:spacing w:line="240" w:lineRule="exact"/>
        <w:ind w:firstLine="720"/>
      </w:pPr>
      <w:r w:rsidRPr="00614F88">
        <w:t xml:space="preserve">Exaggerated morphological traits provide powerful systems for uncovering how genetic variation gives rise to phenotypic diversity, yet the genetic architecture of many sexually selected ornaments remains poorly understood. In </w:t>
      </w:r>
      <w:proofErr w:type="spellStart"/>
      <w:r w:rsidRPr="00614F88">
        <w:t>livebearing</w:t>
      </w:r>
      <w:proofErr w:type="spellEnd"/>
      <w:r w:rsidRPr="00614F88">
        <w:t xml:space="preserve"> fishes of the genus Poecilia, dorsal</w:t>
      </w:r>
      <w:r w:rsidRPr="00463AF8">
        <w:t xml:space="preserve"> </w:t>
      </w:r>
      <w:r w:rsidRPr="00614F88">
        <w:t xml:space="preserve">fin morphology varies dramatically among species, with </w:t>
      </w:r>
      <w:r w:rsidRPr="00463AF8">
        <w:t>S</w:t>
      </w:r>
      <w:r w:rsidRPr="00614F88">
        <w:t>ailfin mollies (</w:t>
      </w:r>
      <w:r w:rsidRPr="00E035A0">
        <w:rPr>
          <w:i/>
          <w:iCs/>
        </w:rPr>
        <w:t xml:space="preserve">P. </w:t>
      </w:r>
      <w:proofErr w:type="spellStart"/>
      <w:r w:rsidRPr="00E035A0">
        <w:rPr>
          <w:i/>
          <w:iCs/>
        </w:rPr>
        <w:t>latipinna</w:t>
      </w:r>
      <w:proofErr w:type="spellEnd"/>
      <w:r w:rsidRPr="00614F88">
        <w:t xml:space="preserve">) exhibiting a hypertrophied, sexually selected fin while closely related species such as </w:t>
      </w:r>
      <w:r w:rsidRPr="00E035A0">
        <w:rPr>
          <w:i/>
          <w:iCs/>
        </w:rPr>
        <w:t>P. mexicana</w:t>
      </w:r>
      <w:r w:rsidRPr="00614F88">
        <w:t xml:space="preserve"> retain short, unornamented fins</w:t>
      </w:r>
      <w:r w:rsidRPr="00463AF8">
        <w:t xml:space="preserve"> (</w:t>
      </w:r>
      <w:r w:rsidRPr="00614F88">
        <w:t>Farr et al., 1986;</w:t>
      </w:r>
      <w:r w:rsidRPr="00463AF8">
        <w:t xml:space="preserve"> Reznick et al., 2017; Goldberg et al., 2019; Reznick et al., 2021)</w:t>
      </w:r>
      <w:r w:rsidRPr="00614F88">
        <w:t>. Hybridization between these species produces intermediate dorsal</w:t>
      </w:r>
      <w:r w:rsidRPr="00463AF8">
        <w:t xml:space="preserve"> </w:t>
      </w:r>
      <w:r w:rsidRPr="00614F88">
        <w:t>fin lengths, strongly suggesting a quantitative genetic basis for this trait and highlighting the system as an ideal model for dissecting genotype</w:t>
      </w:r>
      <w:r w:rsidRPr="00463AF8">
        <w:t>-</w:t>
      </w:r>
      <w:r w:rsidRPr="00614F88">
        <w:t>phenotype relationships</w:t>
      </w:r>
      <w:r w:rsidRPr="00463AF8">
        <w:t xml:space="preserve"> </w:t>
      </w:r>
      <w:r>
        <w:t>(</w:t>
      </w:r>
      <w:r w:rsidRPr="00876FC2">
        <w:t>Berbel-Filho et al., in prep</w:t>
      </w:r>
      <w:r w:rsidRPr="00832E15">
        <w:t>).</w:t>
      </w:r>
    </w:p>
    <w:p w14:paraId="43B2E460" w14:textId="77777777" w:rsidR="004F4E02" w:rsidRPr="00463AF8" w:rsidRDefault="004F4E02" w:rsidP="004F4E02">
      <w:pPr>
        <w:spacing w:line="240" w:lineRule="exact"/>
        <w:ind w:firstLine="720"/>
      </w:pPr>
      <w:r w:rsidRPr="00463AF8">
        <w:t xml:space="preserve">Despite this promise, only one study has attempted to identify genomic regions influencing </w:t>
      </w:r>
      <w:r>
        <w:t>dorsal fin</w:t>
      </w:r>
      <w:r w:rsidRPr="00463AF8">
        <w:t xml:space="preserve"> exaggeration in </w:t>
      </w:r>
      <w:r w:rsidRPr="00380F7B">
        <w:rPr>
          <w:i/>
          <w:iCs/>
        </w:rPr>
        <w:t>Poecilia</w:t>
      </w:r>
      <w:r w:rsidRPr="00463AF8">
        <w:t xml:space="preserve"> (Keong et al., 2014), and that work relied solely on a small microsatellite (SSR) </w:t>
      </w:r>
      <w:r w:rsidRPr="00CE528A">
        <w:t>panel of 29 loci</w:t>
      </w:r>
      <w:r>
        <w:t xml:space="preserve"> – </w:t>
      </w:r>
      <w:r w:rsidRPr="00CE528A">
        <w:t>only 18 of which were informative and grouped into four linkage groups</w:t>
      </w:r>
      <w:r w:rsidRPr="00463AF8">
        <w:t xml:space="preserve"> </w:t>
      </w:r>
      <w:r>
        <w:t xml:space="preserve">– </w:t>
      </w:r>
      <w:r w:rsidRPr="00463AF8">
        <w:t xml:space="preserve">rather than whole-genome sequencing, limiting both genomic resolution and power to detect polygenic effects. As a result, the field still lacks fundamental knowledge of: (1) how many loci contribute to </w:t>
      </w:r>
      <w:r>
        <w:t>dorsal fin</w:t>
      </w:r>
      <w:r w:rsidRPr="00463AF8">
        <w:t xml:space="preserve"> length variation, (2) whether the trait is governed by a few large-effect regions or a polygenic architecture, and (3) whether the genetic basis of fin exaggeration overlaps with known sexually selected ornaments in other </w:t>
      </w:r>
      <w:proofErr w:type="spellStart"/>
      <w:r w:rsidRPr="00463AF8">
        <w:t>poeciliids</w:t>
      </w:r>
      <w:proofErr w:type="spellEnd"/>
      <w:r w:rsidRPr="00463AF8">
        <w:t>, such as swordtails (</w:t>
      </w:r>
      <w:r w:rsidRPr="005E2880">
        <w:rPr>
          <w:i/>
          <w:iCs/>
        </w:rPr>
        <w:t>Xiphophorus</w:t>
      </w:r>
      <w:r w:rsidRPr="00463AF8">
        <w:t>) (Powell et al., 2021).</w:t>
      </w:r>
    </w:p>
    <w:p w14:paraId="631E212A" w14:textId="4E193608" w:rsidR="004F4E02" w:rsidRPr="00463AF8" w:rsidRDefault="004F4E02" w:rsidP="004F4E02">
      <w:pPr>
        <w:spacing w:line="240" w:lineRule="exact"/>
        <w:ind w:firstLine="720"/>
      </w:pPr>
      <w:r w:rsidRPr="00463AF8">
        <w:t xml:space="preserve">This lack of genomic resolution represents a major barrier to progress. Without high-density markers and genome-wide scans, the evolutionary and developmental mechanisms underlying </w:t>
      </w:r>
      <w:r>
        <w:t>dorsal fin</w:t>
      </w:r>
      <w:r w:rsidRPr="00463AF8">
        <w:t xml:space="preserve"> exaggeration remain unresolved, limiting our ability to connect phenotypic evolution to underlying genetic processes. By applying low-coverage whole-genome sequencing (</w:t>
      </w:r>
      <w:proofErr w:type="spellStart"/>
      <w:r w:rsidRPr="00463AF8">
        <w:t>lcWGS</w:t>
      </w:r>
      <w:proofErr w:type="spellEnd"/>
      <w:r w:rsidRPr="00463AF8">
        <w:t xml:space="preserve">) and QTL mapping in F2 hybrids, this project directly addresses this gap and will establish the first high-resolution genomic framework for understanding the evolution of exaggerated fin morphology in </w:t>
      </w:r>
      <w:r w:rsidRPr="00380F7B">
        <w:rPr>
          <w:i/>
          <w:iCs/>
        </w:rPr>
        <w:t>Poecilia</w:t>
      </w:r>
      <w:r w:rsidRPr="00463AF8">
        <w:t>.</w:t>
      </w:r>
      <w:r>
        <w:t xml:space="preserve"> </w:t>
      </w:r>
      <w:r w:rsidRPr="003E7999">
        <w:t xml:space="preserve">This project introduces several methodological and conceptual innovations that advance the study of morphological evolution in </w:t>
      </w:r>
      <w:r w:rsidRPr="00380F7B">
        <w:rPr>
          <w:i/>
          <w:iCs/>
        </w:rPr>
        <w:t>Poecilia</w:t>
      </w:r>
      <w:r w:rsidRPr="003E7999">
        <w:t xml:space="preserve"> and extend current research paradigms in fish genomics.</w:t>
      </w:r>
    </w:p>
    <w:p w14:paraId="363F9518" w14:textId="416600AA" w:rsidR="004F4E02" w:rsidRPr="00463AF8" w:rsidRDefault="004F4E02" w:rsidP="004F4E02">
      <w:pPr>
        <w:spacing w:line="240" w:lineRule="exact"/>
        <w:ind w:firstLine="720"/>
      </w:pPr>
      <w:r w:rsidRPr="00463AF8">
        <w:t xml:space="preserve">Previous work on </w:t>
      </w:r>
      <w:r>
        <w:t>dorsal fin</w:t>
      </w:r>
      <w:r w:rsidRPr="00463AF8">
        <w:t xml:space="preserve"> exaggeration relied exclusively on low-resolution microsatellite markers (Keong et al., 2014), which limited the ability to detect small-effect loci or define precise genomic intervals. By leveraging low-coverage whole-genome sequencing (</w:t>
      </w:r>
      <w:proofErr w:type="spellStart"/>
      <w:r w:rsidRPr="00463AF8">
        <w:t>lcWGS</w:t>
      </w:r>
      <w:proofErr w:type="spellEnd"/>
      <w:r w:rsidRPr="00463AF8">
        <w:t>), this project provides the first high-density, genome-wide characterization of the genetic architecture underlying dorsal fin length in mollies.</w:t>
      </w:r>
      <w:r>
        <w:t xml:space="preserve"> </w:t>
      </w:r>
      <w:r w:rsidRPr="00463AF8">
        <w:t xml:space="preserve">The project applies cutting-edge </w:t>
      </w:r>
      <w:proofErr w:type="spellStart"/>
      <w:r w:rsidRPr="00463AF8">
        <w:t>lcWGS</w:t>
      </w:r>
      <w:proofErr w:type="spellEnd"/>
      <w:r w:rsidRPr="00463AF8">
        <w:t xml:space="preserve"> pipelines that use genotype likelihoods rather than hard-called SNPs, allowing accurate QTL detection even at low sequencing depth. This approach, recently adopted in other teleost hybrid systems (Powell et al., 2021), substantially reduces sequencing costs while preserving statistical power, making it an innovative model for morphological mapping in non-model fishes.</w:t>
      </w:r>
    </w:p>
    <w:p w14:paraId="15A23910" w14:textId="5BD72EB7" w:rsidR="004F4E02" w:rsidRPr="00463AF8" w:rsidRDefault="004F4E02" w:rsidP="004F4E02">
      <w:pPr>
        <w:spacing w:line="240" w:lineRule="exact"/>
        <w:ind w:firstLine="360"/>
      </w:pPr>
      <w:r w:rsidRPr="00463AF8">
        <w:t xml:space="preserve">By mapping dorsal fin variation in </w:t>
      </w:r>
      <w:r>
        <w:t>F2</w:t>
      </w:r>
      <w:r w:rsidRPr="00463AF8">
        <w:t xml:space="preserve"> hybrids between </w:t>
      </w:r>
      <w:r w:rsidRPr="00B00365">
        <w:rPr>
          <w:i/>
          <w:iCs/>
        </w:rPr>
        <w:t xml:space="preserve">P. </w:t>
      </w:r>
      <w:proofErr w:type="spellStart"/>
      <w:r w:rsidRPr="00B00365">
        <w:rPr>
          <w:i/>
          <w:iCs/>
        </w:rPr>
        <w:t>latipinna</w:t>
      </w:r>
      <w:proofErr w:type="spellEnd"/>
      <w:r w:rsidRPr="00463AF8">
        <w:t xml:space="preserve"> and </w:t>
      </w:r>
      <w:r w:rsidRPr="00B00365">
        <w:rPr>
          <w:i/>
          <w:iCs/>
        </w:rPr>
        <w:t>P. mexicana</w:t>
      </w:r>
      <w:r w:rsidRPr="00463AF8">
        <w:t xml:space="preserve">, this project captures recombination across divergent genomes, enabling fine-scale detection of loci influencing fin morphology. This design provides stronger resolution than within-species mapping and represents a novel comparative genetic framework for </w:t>
      </w:r>
      <w:r w:rsidRPr="00380A88">
        <w:rPr>
          <w:i/>
          <w:iCs/>
        </w:rPr>
        <w:t>Poecilia</w:t>
      </w:r>
      <w:r w:rsidRPr="00463AF8">
        <w:t xml:space="preserve"> ornamentation.</w:t>
      </w:r>
      <w:r>
        <w:t xml:space="preserve"> </w:t>
      </w:r>
      <w:r w:rsidRPr="00463AF8">
        <w:t>The pipeline developed here is explicitly designed to interface with future RNA-seq and candidate gene expression analyses of fin development. This forward-looking integration distinguishes the project from earlier work that ended at marker identification (Keong et al., 2014), opening the door to mechanistic studies of the developmental pathways shaping exaggerated fin structures.</w:t>
      </w:r>
    </w:p>
    <w:p w14:paraId="78EDEE50" w14:textId="77777777" w:rsidR="004F4E02" w:rsidRPr="00463AF8" w:rsidRDefault="004F4E02" w:rsidP="004F4E02">
      <w:pPr>
        <w:spacing w:line="240" w:lineRule="exact"/>
        <w:ind w:firstLine="360"/>
      </w:pPr>
      <w:r w:rsidRPr="00463AF8">
        <w:t xml:space="preserve">This project leverages an active collaboration with Dr. Dan Powell, whose team developed a robust </w:t>
      </w:r>
      <w:proofErr w:type="spellStart"/>
      <w:r w:rsidRPr="00463AF8">
        <w:t>lcWGS</w:t>
      </w:r>
      <w:proofErr w:type="spellEnd"/>
      <w:r w:rsidRPr="00463AF8">
        <w:t xml:space="preserve"> and QTL-mapping pipeline for identifying the genetic architecture of sexually selected fin ornaments in </w:t>
      </w:r>
      <w:r w:rsidRPr="00380A88">
        <w:rPr>
          <w:i/>
          <w:iCs/>
        </w:rPr>
        <w:t>Xiphophorus</w:t>
      </w:r>
      <w:r w:rsidRPr="00463AF8">
        <w:t xml:space="preserve"> (Powell et al., 2021). By adapting and extending this </w:t>
      </w:r>
      <w:r w:rsidRPr="00463AF8">
        <w:lastRenderedPageBreak/>
        <w:t xml:space="preserve">proven workflow to analyze dorsal fin length in </w:t>
      </w:r>
      <w:r w:rsidRPr="00380A88">
        <w:rPr>
          <w:i/>
          <w:iCs/>
        </w:rPr>
        <w:t>Poecilia</w:t>
      </w:r>
      <w:r w:rsidRPr="00463AF8">
        <w:t xml:space="preserve">, this project transforms an ornament-mapping framework originally designed for swordtail fish into a generalizable, cross-taxa toolset for studying morphological evolution. The resulting pipeline – documented, modular, and compatible with low-coverage genomic data – will provide a reusable resource not only for the </w:t>
      </w:r>
      <w:r w:rsidRPr="00380A88">
        <w:rPr>
          <w:i/>
          <w:iCs/>
        </w:rPr>
        <w:t>Poecilia</w:t>
      </w:r>
      <w:r w:rsidRPr="00463AF8">
        <w:t xml:space="preserve"> community but also for researchers working on hybrid systems, sexual selection, and trait evolution in other fish lineages. This represents the first systematic translation of the </w:t>
      </w:r>
      <w:r w:rsidRPr="00021E0E">
        <w:rPr>
          <w:i/>
          <w:iCs/>
        </w:rPr>
        <w:t>Xiphophorus</w:t>
      </w:r>
      <w:r w:rsidRPr="00463AF8">
        <w:t xml:space="preserve"> ornament-mapping pipeline to another genus, demonstrating its broader applicability and significantly expanding the genomic toolkit available for </w:t>
      </w:r>
      <w:proofErr w:type="spellStart"/>
      <w:r w:rsidRPr="00463AF8">
        <w:t>poeciliid</w:t>
      </w:r>
      <w:proofErr w:type="spellEnd"/>
      <w:r w:rsidRPr="00463AF8">
        <w:t xml:space="preserve"> evo-devo research.</w:t>
      </w:r>
    </w:p>
    <w:p w14:paraId="5ADC7031" w14:textId="77777777" w:rsidR="004F4E02" w:rsidRDefault="004F4E02" w:rsidP="004F4E02">
      <w:pPr>
        <w:spacing w:line="240" w:lineRule="exact"/>
        <w:ind w:firstLine="360"/>
      </w:pPr>
      <w:r w:rsidRPr="00463AF8">
        <w:t xml:space="preserve">Together, these innovations modernize genetic mapping in </w:t>
      </w:r>
      <w:r w:rsidRPr="00021E0E">
        <w:rPr>
          <w:i/>
          <w:iCs/>
        </w:rPr>
        <w:t>Poecilia</w:t>
      </w:r>
      <w:r w:rsidRPr="00463AF8">
        <w:t xml:space="preserve">, expand the toolkit for investigating sexually selected ornamentation, and establish a new methodological foundation for linking genotype to phenotype in </w:t>
      </w:r>
      <w:proofErr w:type="spellStart"/>
      <w:r w:rsidRPr="00463AF8">
        <w:t>livebearing</w:t>
      </w:r>
      <w:proofErr w:type="spellEnd"/>
      <w:r w:rsidRPr="00463AF8">
        <w:t xml:space="preserve"> fishes. By integrating low-coverage whole-genome sequencing, genotype-likelihood-based variant calling, and hybrid-mapping designs, this project brings Poecilia genetics in line with contemporary standards used in model systems. The resulting pipeline not only increases power and resolution relative to earlier microsatellite-based approaches (Keong et al., 2014) but also creates a scalable framework that can incorporate future datasets, including RNA-seq and long-read assemblies. In doing so, this work positions </w:t>
      </w:r>
      <w:r w:rsidRPr="00021E0E">
        <w:rPr>
          <w:i/>
          <w:iCs/>
        </w:rPr>
        <w:t>Poecilia</w:t>
      </w:r>
      <w:r w:rsidRPr="00463AF8">
        <w:t xml:space="preserve"> as a tractable genomic system for dissecting the molecular basis of complex traits, enabling downstream research into regulatory evolution, convergent genetic pathways with </w:t>
      </w:r>
      <w:r w:rsidRPr="00021E0E">
        <w:rPr>
          <w:i/>
          <w:iCs/>
        </w:rPr>
        <w:t>Xiphophorus</w:t>
      </w:r>
      <w:r w:rsidRPr="00463AF8">
        <w:t xml:space="preserve"> (Powell et al., 2021), and the broader mechanisms by which sexual selection shapes morphological diversity.</w:t>
      </w:r>
    </w:p>
    <w:p w14:paraId="3539987B" w14:textId="77777777" w:rsidR="004F4E02" w:rsidRDefault="004F4E02" w:rsidP="004F4E02">
      <w:pPr>
        <w:spacing w:line="240" w:lineRule="exact"/>
      </w:pPr>
    </w:p>
    <w:p w14:paraId="513F8A9E" w14:textId="4357F76A" w:rsidR="004F4E02" w:rsidRPr="004F4E02" w:rsidRDefault="004F4E02" w:rsidP="004F4E02">
      <w:pPr>
        <w:spacing w:line="240" w:lineRule="exact"/>
        <w:rPr>
          <w:b/>
          <w:bCs/>
        </w:rPr>
      </w:pPr>
      <w:r w:rsidRPr="004F4E02">
        <w:rPr>
          <w:b/>
          <w:bCs/>
        </w:rPr>
        <w:t>References:</w:t>
      </w:r>
    </w:p>
    <w:p w14:paraId="48A8B6D6" w14:textId="77777777" w:rsidR="004F4E02" w:rsidRDefault="004F4E02" w:rsidP="004F4E02">
      <w:pPr>
        <w:spacing w:line="240" w:lineRule="exact"/>
      </w:pPr>
      <w:r w:rsidRPr="00B23709">
        <w:t xml:space="preserve">Berbel-Filho, W.M., Reich, T., Ubeda, F., </w:t>
      </w:r>
      <w:proofErr w:type="spellStart"/>
      <w:r w:rsidRPr="00B23709">
        <w:t>Fyon</w:t>
      </w:r>
      <w:proofErr w:type="spellEnd"/>
      <w:r w:rsidRPr="00B23709">
        <w:t xml:space="preserve">, F., Schlupp, I. Making a species in the </w:t>
      </w:r>
      <w:proofErr w:type="gramStart"/>
      <w:r w:rsidRPr="00B23709">
        <w:t>lab:</w:t>
      </w:r>
      <w:proofErr w:type="gramEnd"/>
      <w:r w:rsidRPr="00B23709">
        <w:t xml:space="preserve"> attempts to recreate the origin of the Amazon molly. (Preparing for submission to </w:t>
      </w:r>
      <w:r w:rsidRPr="00B23709">
        <w:rPr>
          <w:i/>
          <w:iCs/>
        </w:rPr>
        <w:t>Evolution</w:t>
      </w:r>
      <w:r w:rsidRPr="00B23709">
        <w:t>).</w:t>
      </w:r>
    </w:p>
    <w:p w14:paraId="448B0876" w14:textId="77777777" w:rsidR="004F4E02" w:rsidRPr="008A562A" w:rsidRDefault="004F4E02" w:rsidP="004F4E02">
      <w:pPr>
        <w:spacing w:line="240" w:lineRule="exact"/>
      </w:pPr>
      <w:r w:rsidRPr="008A562A">
        <w:t xml:space="preserve">Farr, J. A., Travis, J., &amp; Trexler, J. C. (1986). </w:t>
      </w:r>
      <w:proofErr w:type="spellStart"/>
      <w:r w:rsidRPr="008A562A">
        <w:t>Behavioural</w:t>
      </w:r>
      <w:proofErr w:type="spellEnd"/>
      <w:r w:rsidRPr="008A562A">
        <w:t xml:space="preserve"> allometry and </w:t>
      </w:r>
      <w:proofErr w:type="spellStart"/>
      <w:r w:rsidRPr="008A562A">
        <w:t>interdemic</w:t>
      </w:r>
      <w:proofErr w:type="spellEnd"/>
      <w:r w:rsidRPr="008A562A">
        <w:t xml:space="preserve"> variation in sexual </w:t>
      </w:r>
      <w:proofErr w:type="spellStart"/>
      <w:r w:rsidRPr="008A562A">
        <w:t>behaviour</w:t>
      </w:r>
      <w:proofErr w:type="spellEnd"/>
      <w:r w:rsidRPr="008A562A">
        <w:t xml:space="preserve"> of the sailfin molly, </w:t>
      </w:r>
      <w:r w:rsidRPr="008A562A">
        <w:rPr>
          <w:i/>
          <w:iCs/>
        </w:rPr>
        <w:t xml:space="preserve">Poecilia </w:t>
      </w:r>
      <w:proofErr w:type="spellStart"/>
      <w:r w:rsidRPr="008A562A">
        <w:rPr>
          <w:i/>
          <w:iCs/>
        </w:rPr>
        <w:t>latipinna</w:t>
      </w:r>
      <w:proofErr w:type="spellEnd"/>
      <w:r w:rsidRPr="008A562A">
        <w:t xml:space="preserve"> (Pisces: Poeciliidae). </w:t>
      </w:r>
      <w:r w:rsidRPr="008A562A">
        <w:rPr>
          <w:i/>
          <w:iCs/>
        </w:rPr>
        <w:t xml:space="preserve">Animal </w:t>
      </w:r>
      <w:proofErr w:type="spellStart"/>
      <w:r w:rsidRPr="008A562A">
        <w:rPr>
          <w:i/>
          <w:iCs/>
        </w:rPr>
        <w:t>Behaviour</w:t>
      </w:r>
      <w:proofErr w:type="spellEnd"/>
      <w:r w:rsidRPr="008A562A">
        <w:t xml:space="preserve">, </w:t>
      </w:r>
      <w:r w:rsidRPr="008A562A">
        <w:rPr>
          <w:i/>
          <w:iCs/>
        </w:rPr>
        <w:t>34</w:t>
      </w:r>
      <w:r w:rsidRPr="008A562A">
        <w:t xml:space="preserve">(2), 497–509. </w:t>
      </w:r>
      <w:hyperlink r:id="rId5" w:history="1">
        <w:r w:rsidRPr="008A562A">
          <w:rPr>
            <w:rStyle w:val="Hyperlink"/>
          </w:rPr>
          <w:t>https://doi.org/10.1016/S0003-3472(86)80118-X</w:t>
        </w:r>
      </w:hyperlink>
    </w:p>
    <w:p w14:paraId="24D06DB6" w14:textId="77777777" w:rsidR="004F4E02" w:rsidRPr="008A562A" w:rsidRDefault="004F4E02" w:rsidP="004F4E02">
      <w:pPr>
        <w:spacing w:line="240" w:lineRule="exact"/>
      </w:pPr>
      <w:r w:rsidRPr="008A562A">
        <w:t xml:space="preserve">Goldberg, D. L., Landy, J. A., Travis, J., Springer, M. S., &amp; Reznick, D. N. (2019). In love and war: The morphometric and phylogenetic basis of ornamentation, and the evolution of male display behavior, in the livebearer genus </w:t>
      </w:r>
      <w:r w:rsidRPr="008A562A">
        <w:rPr>
          <w:i/>
          <w:iCs/>
        </w:rPr>
        <w:t>Poecilia</w:t>
      </w:r>
      <w:r w:rsidRPr="008A562A">
        <w:t xml:space="preserve">. </w:t>
      </w:r>
      <w:r w:rsidRPr="008A562A">
        <w:rPr>
          <w:i/>
          <w:iCs/>
        </w:rPr>
        <w:t>Evolution</w:t>
      </w:r>
      <w:r w:rsidRPr="008A562A">
        <w:t xml:space="preserve">, </w:t>
      </w:r>
      <w:r w:rsidRPr="008A562A">
        <w:rPr>
          <w:i/>
          <w:iCs/>
        </w:rPr>
        <w:t>73</w:t>
      </w:r>
      <w:r w:rsidRPr="008A562A">
        <w:t xml:space="preserve">(2), 360–377. </w:t>
      </w:r>
      <w:hyperlink r:id="rId6" w:history="1">
        <w:r w:rsidRPr="008A562A">
          <w:rPr>
            <w:rStyle w:val="Hyperlink"/>
          </w:rPr>
          <w:t>https://doi.org/10.1111/evo.13671</w:t>
        </w:r>
      </w:hyperlink>
    </w:p>
    <w:p w14:paraId="6B0DA699" w14:textId="77777777" w:rsidR="004F4E02" w:rsidRPr="008A562A" w:rsidRDefault="004F4E02" w:rsidP="004F4E02">
      <w:pPr>
        <w:spacing w:line="240" w:lineRule="exact"/>
      </w:pPr>
      <w:r w:rsidRPr="008A562A">
        <w:t xml:space="preserve">Keong, B. P., Siraj, S. S., Daud, S. K., </w:t>
      </w:r>
      <w:proofErr w:type="spellStart"/>
      <w:r w:rsidRPr="008A562A">
        <w:t>Panandam</w:t>
      </w:r>
      <w:proofErr w:type="spellEnd"/>
      <w:r w:rsidRPr="008A562A">
        <w:t xml:space="preserve">, J. M., &amp; Rahman, A. N. A. (2014). Identification of quantitative trait locus (QTL) linked to dorsal fin length from preliminary linkage map of molly fish, </w:t>
      </w:r>
      <w:r w:rsidRPr="008A562A">
        <w:rPr>
          <w:i/>
          <w:iCs/>
        </w:rPr>
        <w:t>Poecilia</w:t>
      </w:r>
      <w:r w:rsidRPr="008A562A">
        <w:t xml:space="preserve"> sp. </w:t>
      </w:r>
      <w:r w:rsidRPr="008A562A">
        <w:rPr>
          <w:i/>
          <w:iCs/>
        </w:rPr>
        <w:t>Gene</w:t>
      </w:r>
      <w:r w:rsidRPr="008A562A">
        <w:t xml:space="preserve">, </w:t>
      </w:r>
      <w:r w:rsidRPr="008A562A">
        <w:rPr>
          <w:i/>
          <w:iCs/>
        </w:rPr>
        <w:t>536</w:t>
      </w:r>
      <w:r w:rsidRPr="008A562A">
        <w:t xml:space="preserve">(1), 114–117. </w:t>
      </w:r>
      <w:hyperlink r:id="rId7" w:history="1">
        <w:r w:rsidRPr="008A562A">
          <w:rPr>
            <w:rStyle w:val="Hyperlink"/>
          </w:rPr>
          <w:t>https://doi.org/10.1016/j.gene.2013.11.068</w:t>
        </w:r>
      </w:hyperlink>
    </w:p>
    <w:p w14:paraId="1B2E2F8D" w14:textId="77777777" w:rsidR="004F4E02" w:rsidRPr="008A562A" w:rsidRDefault="004F4E02" w:rsidP="004F4E02">
      <w:pPr>
        <w:spacing w:line="240" w:lineRule="exact"/>
      </w:pPr>
      <w:r w:rsidRPr="008A562A">
        <w:t xml:space="preserve">Powell, D. L., Payne, C., Banerjee, S. M., Keegan, M., Bashkirova, E., Cui, R., </w:t>
      </w:r>
      <w:proofErr w:type="spellStart"/>
      <w:r w:rsidRPr="008A562A">
        <w:t>Andolfatto</w:t>
      </w:r>
      <w:proofErr w:type="spellEnd"/>
      <w:r w:rsidRPr="008A562A">
        <w:t xml:space="preserve">, P., Rosenthal, G. G., &amp; Schumer, M. (2021). The Genetic Architecture of Variation in the Sexually Selected Sword Ornament and Its Evolution in Hybrid Populations. </w:t>
      </w:r>
      <w:r w:rsidRPr="008A562A">
        <w:rPr>
          <w:i/>
          <w:iCs/>
        </w:rPr>
        <w:t>Current Biology</w:t>
      </w:r>
      <w:r w:rsidRPr="008A562A">
        <w:t xml:space="preserve">, </w:t>
      </w:r>
      <w:r w:rsidRPr="008A562A">
        <w:rPr>
          <w:i/>
          <w:iCs/>
        </w:rPr>
        <w:t>31</w:t>
      </w:r>
      <w:r w:rsidRPr="008A562A">
        <w:t xml:space="preserve">(5), 923-935.e11. </w:t>
      </w:r>
      <w:hyperlink r:id="rId8" w:history="1">
        <w:r w:rsidRPr="008A562A">
          <w:rPr>
            <w:rStyle w:val="Hyperlink"/>
          </w:rPr>
          <w:t>https://doi.org/10.1016/j.cub.2020.12.049</w:t>
        </w:r>
      </w:hyperlink>
    </w:p>
    <w:p w14:paraId="55E2EE5E" w14:textId="77777777" w:rsidR="004F4E02" w:rsidRPr="008A562A" w:rsidRDefault="004F4E02" w:rsidP="004F4E02">
      <w:pPr>
        <w:spacing w:line="240" w:lineRule="exact"/>
      </w:pPr>
      <w:r w:rsidRPr="008A562A">
        <w:t xml:space="preserve">Reznick, D. N., Furness, A. I., Meredith, R. W., &amp; Springer, M. S. (2017). The origin and biogeographic diversification of fishes in the family Poeciliidae. </w:t>
      </w:r>
      <w:r w:rsidRPr="008A562A">
        <w:rPr>
          <w:i/>
          <w:iCs/>
        </w:rPr>
        <w:t>PLOS ONE</w:t>
      </w:r>
      <w:r w:rsidRPr="008A562A">
        <w:t xml:space="preserve">, </w:t>
      </w:r>
      <w:r w:rsidRPr="008A562A">
        <w:rPr>
          <w:i/>
          <w:iCs/>
        </w:rPr>
        <w:t>12</w:t>
      </w:r>
      <w:r w:rsidRPr="008A562A">
        <w:t xml:space="preserve">(3), e0172546. </w:t>
      </w:r>
      <w:hyperlink r:id="rId9" w:history="1">
        <w:r w:rsidRPr="008A562A">
          <w:rPr>
            <w:rStyle w:val="Hyperlink"/>
          </w:rPr>
          <w:t>https://doi.org/10.1371/journal.pone.0172546</w:t>
        </w:r>
      </w:hyperlink>
    </w:p>
    <w:p w14:paraId="432B4A0F" w14:textId="5B5DAFA3" w:rsidR="00DB2995" w:rsidRDefault="004F4E02" w:rsidP="004F4E02">
      <w:pPr>
        <w:spacing w:line="240" w:lineRule="exact"/>
      </w:pPr>
      <w:r w:rsidRPr="008A562A">
        <w:t xml:space="preserve">Reznick, D. N., Travis, J., Pollux, B. J. A., &amp; Furness, A. I. (2021). Reproductive Mode and Conflict Shape the Evolution of Male Attributes and Rate of Speciation in the Fish Family Poeciliidae. </w:t>
      </w:r>
      <w:r w:rsidRPr="008A562A">
        <w:rPr>
          <w:i/>
          <w:iCs/>
        </w:rPr>
        <w:t>Frontiers in Ecology and Evolution</w:t>
      </w:r>
      <w:r w:rsidRPr="008A562A">
        <w:t xml:space="preserve">, </w:t>
      </w:r>
      <w:r w:rsidRPr="008A562A">
        <w:rPr>
          <w:i/>
          <w:iCs/>
        </w:rPr>
        <w:t>9</w:t>
      </w:r>
      <w:r w:rsidRPr="008A562A">
        <w:t xml:space="preserve">, 639751. </w:t>
      </w:r>
      <w:hyperlink r:id="rId10" w:history="1">
        <w:r w:rsidRPr="008A562A">
          <w:rPr>
            <w:rStyle w:val="Hyperlink"/>
          </w:rPr>
          <w:t>https://doi.org/10.3389/fevo.2021.639751</w:t>
        </w:r>
      </w:hyperlink>
    </w:p>
    <w:sectPr w:rsidR="00DB29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A22A4"/>
    <w:multiLevelType w:val="hybridMultilevel"/>
    <w:tmpl w:val="8D463E3E"/>
    <w:lvl w:ilvl="0" w:tplc="364EBC0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49653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E02"/>
    <w:rsid w:val="004F4E02"/>
    <w:rsid w:val="00C861CB"/>
    <w:rsid w:val="00DB2995"/>
    <w:rsid w:val="00FC0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E3345"/>
  <w15:chartTrackingRefBased/>
  <w15:docId w15:val="{30BF99D7-C9EF-4328-8B92-E5862EABA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E02"/>
    <w:pPr>
      <w:spacing w:line="259" w:lineRule="auto"/>
      <w:jc w:val="left"/>
    </w:pPr>
  </w:style>
  <w:style w:type="paragraph" w:styleId="Heading1">
    <w:name w:val="heading 1"/>
    <w:basedOn w:val="Normal"/>
    <w:next w:val="Normal"/>
    <w:link w:val="Heading1Char"/>
    <w:uiPriority w:val="9"/>
    <w:qFormat/>
    <w:rsid w:val="004F4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E0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E0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F4E0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F4E0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4E0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4E0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4E0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E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E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E0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E0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F4E0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F4E0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4E0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4E0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4E0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4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E0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E0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F4E02"/>
    <w:pPr>
      <w:spacing w:before="160"/>
    </w:pPr>
    <w:rPr>
      <w:i/>
      <w:iCs/>
      <w:color w:val="404040" w:themeColor="text1" w:themeTint="BF"/>
    </w:rPr>
  </w:style>
  <w:style w:type="character" w:customStyle="1" w:styleId="QuoteChar">
    <w:name w:val="Quote Char"/>
    <w:basedOn w:val="DefaultParagraphFont"/>
    <w:link w:val="Quote"/>
    <w:uiPriority w:val="29"/>
    <w:rsid w:val="004F4E02"/>
    <w:rPr>
      <w:i/>
      <w:iCs/>
      <w:color w:val="404040" w:themeColor="text1" w:themeTint="BF"/>
    </w:rPr>
  </w:style>
  <w:style w:type="paragraph" w:styleId="ListParagraph">
    <w:name w:val="List Paragraph"/>
    <w:basedOn w:val="Normal"/>
    <w:uiPriority w:val="34"/>
    <w:qFormat/>
    <w:rsid w:val="004F4E02"/>
    <w:pPr>
      <w:ind w:left="720"/>
      <w:contextualSpacing/>
    </w:pPr>
  </w:style>
  <w:style w:type="character" w:styleId="IntenseEmphasis">
    <w:name w:val="Intense Emphasis"/>
    <w:basedOn w:val="DefaultParagraphFont"/>
    <w:uiPriority w:val="21"/>
    <w:qFormat/>
    <w:rsid w:val="004F4E02"/>
    <w:rPr>
      <w:i/>
      <w:iCs/>
      <w:color w:val="0F4761" w:themeColor="accent1" w:themeShade="BF"/>
    </w:rPr>
  </w:style>
  <w:style w:type="paragraph" w:styleId="IntenseQuote">
    <w:name w:val="Intense Quote"/>
    <w:basedOn w:val="Normal"/>
    <w:next w:val="Normal"/>
    <w:link w:val="IntenseQuoteChar"/>
    <w:uiPriority w:val="30"/>
    <w:qFormat/>
    <w:rsid w:val="004F4E02"/>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4F4E02"/>
    <w:rPr>
      <w:i/>
      <w:iCs/>
      <w:color w:val="0F4761" w:themeColor="accent1" w:themeShade="BF"/>
    </w:rPr>
  </w:style>
  <w:style w:type="character" w:styleId="IntenseReference">
    <w:name w:val="Intense Reference"/>
    <w:basedOn w:val="DefaultParagraphFont"/>
    <w:uiPriority w:val="32"/>
    <w:qFormat/>
    <w:rsid w:val="004F4E02"/>
    <w:rPr>
      <w:b/>
      <w:bCs/>
      <w:smallCaps/>
      <w:color w:val="0F4761" w:themeColor="accent1" w:themeShade="BF"/>
      <w:spacing w:val="5"/>
    </w:rPr>
  </w:style>
  <w:style w:type="character" w:styleId="Hyperlink">
    <w:name w:val="Hyperlink"/>
    <w:basedOn w:val="DefaultParagraphFont"/>
    <w:uiPriority w:val="99"/>
    <w:unhideWhenUsed/>
    <w:rsid w:val="004F4E0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ub.2020.12.049" TargetMode="External"/><Relationship Id="rId3" Type="http://schemas.openxmlformats.org/officeDocument/2006/relationships/settings" Target="settings.xml"/><Relationship Id="rId7" Type="http://schemas.openxmlformats.org/officeDocument/2006/relationships/hyperlink" Target="https://doi.org/10.1016/j.gene.2013.11.06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evo.13671" TargetMode="External"/><Relationship Id="rId11" Type="http://schemas.openxmlformats.org/officeDocument/2006/relationships/fontTable" Target="fontTable.xml"/><Relationship Id="rId5" Type="http://schemas.openxmlformats.org/officeDocument/2006/relationships/hyperlink" Target="https://doi.org/10.1016/S0003-3472(86)80118-X" TargetMode="External"/><Relationship Id="rId10" Type="http://schemas.openxmlformats.org/officeDocument/2006/relationships/hyperlink" Target="https://doi.org/10.3389/fevo.2021.639751" TargetMode="External"/><Relationship Id="rId4" Type="http://schemas.openxmlformats.org/officeDocument/2006/relationships/webSettings" Target="webSettings.xml"/><Relationship Id="rId9" Type="http://schemas.openxmlformats.org/officeDocument/2006/relationships/hyperlink" Target="https://doi.org/10.1371/journal.pone.01725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1248</Words>
  <Characters>7114</Characters>
  <Application>Microsoft Office Word</Application>
  <DocSecurity>0</DocSecurity>
  <Lines>59</Lines>
  <Paragraphs>16</Paragraphs>
  <ScaleCrop>false</ScaleCrop>
  <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Reich</dc:creator>
  <cp:keywords/>
  <dc:description/>
  <cp:lastModifiedBy>Tyler Reich</cp:lastModifiedBy>
  <cp:revision>1</cp:revision>
  <dcterms:created xsi:type="dcterms:W3CDTF">2025-12-02T18:17:00Z</dcterms:created>
  <dcterms:modified xsi:type="dcterms:W3CDTF">2025-12-02T18:22:00Z</dcterms:modified>
</cp:coreProperties>
</file>