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02F" w:rsidRDefault="004F302F">
      <w:pPr>
        <w:rPr>
          <w:sz w:val="36"/>
          <w:szCs w:val="36"/>
        </w:rPr>
      </w:pPr>
      <w:r>
        <w:rPr>
          <w:sz w:val="36"/>
          <w:szCs w:val="36"/>
        </w:rPr>
        <w:t>Data and Results</w:t>
      </w:r>
      <w:bookmarkStart w:id="0" w:name="_GoBack"/>
      <w:bookmarkEnd w:id="0"/>
    </w:p>
    <w:p w:rsidR="00F27BC2" w:rsidRPr="003C5FEE" w:rsidRDefault="00F27BC2">
      <w:pPr>
        <w:rPr>
          <w:sz w:val="24"/>
          <w:szCs w:val="24"/>
        </w:rPr>
      </w:pPr>
      <w:r>
        <w:rPr>
          <w:sz w:val="24"/>
          <w:szCs w:val="24"/>
        </w:rPr>
        <w:t>***Add words before graph even if it’s a few sentences.</w:t>
      </w:r>
    </w:p>
    <w:p w:rsidR="004F302F" w:rsidRDefault="005448ED" w:rsidP="004F302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69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53" w:rsidRDefault="00890053" w:rsidP="004F302F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</w:t>
      </w:r>
    </w:p>
    <w:p w:rsidR="004F302F" w:rsidRPr="00274981" w:rsidRDefault="004F302F" w:rsidP="00274981">
      <w:pPr>
        <w:jc w:val="center"/>
        <w:rPr>
          <w:sz w:val="20"/>
          <w:szCs w:val="20"/>
        </w:rPr>
      </w:pPr>
      <w:r w:rsidRPr="004F302F">
        <w:rPr>
          <w:sz w:val="20"/>
          <w:szCs w:val="20"/>
        </w:rPr>
        <w:t>The results of the input data represented in scatter plots for two input variables compared to one another, along with histograms of the input variables themselves.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90053" w:rsidRPr="00890053" w:rsidTr="00890053">
        <w:tc>
          <w:tcPr>
            <w:tcW w:w="1558" w:type="dxa"/>
          </w:tcPr>
          <w:p w:rsidR="00890053" w:rsidRPr="00890053" w:rsidRDefault="00890053" w:rsidP="004F302F">
            <w:pPr>
              <w:rPr>
                <w:sz w:val="20"/>
                <w:szCs w:val="20"/>
              </w:rPr>
            </w:pPr>
            <w:r w:rsidRPr="00890053">
              <w:rPr>
                <w:sz w:val="20"/>
                <w:szCs w:val="20"/>
              </w:rPr>
              <w:t>Movie Title</w:t>
            </w:r>
          </w:p>
        </w:tc>
        <w:tc>
          <w:tcPr>
            <w:tcW w:w="1558" w:type="dxa"/>
          </w:tcPr>
          <w:p w:rsidR="00890053" w:rsidRPr="00890053" w:rsidRDefault="00890053" w:rsidP="004F302F">
            <w:pPr>
              <w:rPr>
                <w:sz w:val="20"/>
                <w:szCs w:val="20"/>
              </w:rPr>
            </w:pPr>
            <w:r w:rsidRPr="00890053">
              <w:rPr>
                <w:sz w:val="20"/>
                <w:szCs w:val="20"/>
              </w:rPr>
              <w:t>Production Budget</w:t>
            </w:r>
          </w:p>
        </w:tc>
        <w:tc>
          <w:tcPr>
            <w:tcW w:w="1558" w:type="dxa"/>
          </w:tcPr>
          <w:p w:rsidR="00890053" w:rsidRPr="00890053" w:rsidRDefault="00890053" w:rsidP="004F302F">
            <w:pPr>
              <w:rPr>
                <w:sz w:val="20"/>
                <w:szCs w:val="20"/>
              </w:rPr>
            </w:pPr>
            <w:r w:rsidRPr="00890053">
              <w:rPr>
                <w:sz w:val="20"/>
                <w:szCs w:val="20"/>
              </w:rPr>
              <w:t>Opening Theater Count</w:t>
            </w:r>
          </w:p>
        </w:tc>
        <w:tc>
          <w:tcPr>
            <w:tcW w:w="1558" w:type="dxa"/>
          </w:tcPr>
          <w:p w:rsidR="00890053" w:rsidRPr="00890053" w:rsidRDefault="00890053" w:rsidP="004F302F">
            <w:pPr>
              <w:rPr>
                <w:sz w:val="20"/>
                <w:szCs w:val="20"/>
              </w:rPr>
            </w:pPr>
            <w:r w:rsidRPr="00890053">
              <w:rPr>
                <w:sz w:val="20"/>
                <w:szCs w:val="20"/>
              </w:rPr>
              <w:t>YouTube Trailer count</w:t>
            </w:r>
            <w:r w:rsidR="00DE61D3">
              <w:rPr>
                <w:sz w:val="20"/>
                <w:szCs w:val="20"/>
              </w:rPr>
              <w:t xml:space="preserve"> (m)</w:t>
            </w:r>
          </w:p>
        </w:tc>
        <w:tc>
          <w:tcPr>
            <w:tcW w:w="1559" w:type="dxa"/>
          </w:tcPr>
          <w:p w:rsidR="00890053" w:rsidRPr="00890053" w:rsidRDefault="00890053" w:rsidP="004F302F">
            <w:pPr>
              <w:rPr>
                <w:sz w:val="20"/>
                <w:szCs w:val="20"/>
              </w:rPr>
            </w:pPr>
            <w:r w:rsidRPr="00890053">
              <w:rPr>
                <w:sz w:val="20"/>
                <w:szCs w:val="20"/>
              </w:rPr>
              <w:t>Rotten Tomatoes Critic scores</w:t>
            </w:r>
          </w:p>
        </w:tc>
        <w:tc>
          <w:tcPr>
            <w:tcW w:w="1559" w:type="dxa"/>
          </w:tcPr>
          <w:p w:rsidR="00890053" w:rsidRPr="00890053" w:rsidRDefault="00890053" w:rsidP="004F302F">
            <w:pPr>
              <w:rPr>
                <w:sz w:val="20"/>
                <w:szCs w:val="20"/>
              </w:rPr>
            </w:pPr>
            <w:r w:rsidRPr="00890053">
              <w:rPr>
                <w:sz w:val="20"/>
                <w:szCs w:val="20"/>
              </w:rPr>
              <w:t>Box Office Success or Failure</w:t>
            </w:r>
          </w:p>
        </w:tc>
      </w:tr>
      <w:tr w:rsidR="00890053" w:rsidRPr="00890053" w:rsidTr="00890053">
        <w:tc>
          <w:tcPr>
            <w:tcW w:w="1558" w:type="dxa"/>
          </w:tcPr>
          <w:p w:rsidR="00890053" w:rsidRPr="00890053" w:rsidRDefault="00890053" w:rsidP="004F302F">
            <w:pPr>
              <w:rPr>
                <w:i/>
                <w:sz w:val="20"/>
                <w:szCs w:val="20"/>
              </w:rPr>
            </w:pPr>
            <w:r w:rsidRPr="00890053">
              <w:rPr>
                <w:i/>
                <w:sz w:val="20"/>
                <w:szCs w:val="20"/>
              </w:rPr>
              <w:t>Avengers: Endgame (2019)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$400,000,000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4,662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233.4</w:t>
            </w:r>
          </w:p>
        </w:tc>
        <w:tc>
          <w:tcPr>
            <w:tcW w:w="1559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94%</w:t>
            </w:r>
          </w:p>
        </w:tc>
        <w:tc>
          <w:tcPr>
            <w:tcW w:w="1559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890053" w:rsidRPr="00890053" w:rsidTr="00890053">
        <w:tc>
          <w:tcPr>
            <w:tcW w:w="1558" w:type="dxa"/>
          </w:tcPr>
          <w:p w:rsidR="00890053" w:rsidRPr="00890053" w:rsidRDefault="00890053" w:rsidP="004F302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Joker (2019)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$55,000,000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4,374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112.9</w:t>
            </w:r>
          </w:p>
        </w:tc>
        <w:tc>
          <w:tcPr>
            <w:tcW w:w="1559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69%</w:t>
            </w:r>
          </w:p>
        </w:tc>
        <w:tc>
          <w:tcPr>
            <w:tcW w:w="1559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890053" w:rsidRPr="00890053" w:rsidTr="00890053">
        <w:tc>
          <w:tcPr>
            <w:tcW w:w="1558" w:type="dxa"/>
          </w:tcPr>
          <w:p w:rsidR="00890053" w:rsidRPr="00890053" w:rsidRDefault="00890053" w:rsidP="004F302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Dark Phoenix (2019)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$200,0000,000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3,721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41.6</w:t>
            </w:r>
          </w:p>
        </w:tc>
        <w:tc>
          <w:tcPr>
            <w:tcW w:w="1559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23%</w:t>
            </w:r>
          </w:p>
        </w:tc>
        <w:tc>
          <w:tcPr>
            <w:tcW w:w="1559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Failure</w:t>
            </w:r>
          </w:p>
        </w:tc>
      </w:tr>
      <w:tr w:rsidR="00890053" w:rsidRPr="00890053" w:rsidTr="00890053">
        <w:tc>
          <w:tcPr>
            <w:tcW w:w="1558" w:type="dxa"/>
          </w:tcPr>
          <w:p w:rsidR="00890053" w:rsidRPr="00890053" w:rsidRDefault="00890053" w:rsidP="004F302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Maleficent: Mistress of Evil (2019)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$185,000,000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3,790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18.8</w:t>
            </w:r>
          </w:p>
        </w:tc>
        <w:tc>
          <w:tcPr>
            <w:tcW w:w="1559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1559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Failure</w:t>
            </w:r>
          </w:p>
        </w:tc>
      </w:tr>
      <w:tr w:rsidR="00890053" w:rsidRPr="00890053" w:rsidTr="00890053">
        <w:tc>
          <w:tcPr>
            <w:tcW w:w="1558" w:type="dxa"/>
          </w:tcPr>
          <w:p w:rsidR="00890053" w:rsidRPr="00890053" w:rsidRDefault="00890053" w:rsidP="004F302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Zombieland: Double Tap (2019)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$48,000,000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3,468</w:t>
            </w:r>
          </w:p>
        </w:tc>
        <w:tc>
          <w:tcPr>
            <w:tcW w:w="1558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</w:t>
            </w:r>
          </w:p>
        </w:tc>
        <w:tc>
          <w:tcPr>
            <w:tcW w:w="1559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69%</w:t>
            </w:r>
          </w:p>
        </w:tc>
        <w:tc>
          <w:tcPr>
            <w:tcW w:w="1559" w:type="dxa"/>
          </w:tcPr>
          <w:p w:rsidR="00890053" w:rsidRPr="00890053" w:rsidRDefault="00DE61D3" w:rsidP="004F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</w:tbl>
    <w:p w:rsidR="00890053" w:rsidRDefault="00890053" w:rsidP="004F302F">
      <w:pPr>
        <w:rPr>
          <w:sz w:val="24"/>
          <w:szCs w:val="24"/>
        </w:rPr>
      </w:pPr>
    </w:p>
    <w:p w:rsidR="004F302F" w:rsidRDefault="00274981" w:rsidP="00114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Figure 1</w:t>
      </w:r>
      <w:r w:rsidR="004F302F">
        <w:rPr>
          <w:sz w:val="24"/>
          <w:szCs w:val="24"/>
        </w:rPr>
        <w:t xml:space="preserve"> is a collection of scatter plots and histograms of input variable compared to each other to find possible trends in the data</w:t>
      </w:r>
      <w:r w:rsidR="00114064">
        <w:rPr>
          <w:sz w:val="24"/>
          <w:szCs w:val="24"/>
        </w:rPr>
        <w:t xml:space="preserve"> for the program to train and test with</w:t>
      </w:r>
      <w:r w:rsidR="004F302F">
        <w:rPr>
          <w:sz w:val="24"/>
          <w:szCs w:val="24"/>
        </w:rPr>
        <w:t xml:space="preserve">. The input variables are (in ascending order) movie production budget, </w:t>
      </w:r>
      <w:r w:rsidR="00114064">
        <w:rPr>
          <w:sz w:val="24"/>
          <w:szCs w:val="24"/>
        </w:rPr>
        <w:t>number of theaters shown, amount of YouTube trailer views before the opening weekend, and Rotten Tomatoes critic scores. The 4</w:t>
      </w:r>
      <w:r w:rsidR="00114064" w:rsidRPr="00114064">
        <w:rPr>
          <w:sz w:val="24"/>
          <w:szCs w:val="24"/>
          <w:vertAlign w:val="superscript"/>
        </w:rPr>
        <w:t>th</w:t>
      </w:r>
      <w:r w:rsidR="00114064">
        <w:rPr>
          <w:sz w:val="24"/>
          <w:szCs w:val="24"/>
        </w:rPr>
        <w:t xml:space="preserve"> column is the possible outputs of the opening weekend, which is either a success or failure. The term success or failure for the opening weekend relates to how much money </w:t>
      </w:r>
      <w:r w:rsidR="00114064">
        <w:rPr>
          <w:sz w:val="24"/>
          <w:szCs w:val="24"/>
        </w:rPr>
        <w:lastRenderedPageBreak/>
        <w:t xml:space="preserve">was expected to be made and if the movie reached those expectations or not. </w:t>
      </w:r>
      <w:r w:rsidR="003C5FEE">
        <w:rPr>
          <w:sz w:val="24"/>
          <w:szCs w:val="24"/>
        </w:rPr>
        <w:t>*(Go in procedures)</w:t>
      </w:r>
    </w:p>
    <w:p w:rsidR="00114064" w:rsidRDefault="00114064" w:rsidP="00114064">
      <w:pPr>
        <w:ind w:firstLine="720"/>
        <w:rPr>
          <w:sz w:val="24"/>
          <w:szCs w:val="24"/>
        </w:rPr>
      </w:pPr>
    </w:p>
    <w:p w:rsidR="00114064" w:rsidRDefault="00DE61D3" w:rsidP="00114064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A3D64CB" wp14:editId="705086E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45BF07D-AED2-4F26-927F-5C45D24D28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14064" w:rsidRDefault="00114064" w:rsidP="00114064">
      <w:pPr>
        <w:ind w:firstLine="720"/>
        <w:rPr>
          <w:sz w:val="24"/>
          <w:szCs w:val="24"/>
        </w:rPr>
      </w:pPr>
    </w:p>
    <w:p w:rsidR="00BE77FA" w:rsidRDefault="00BE77FA" w:rsidP="00114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>[caption]</w:t>
      </w:r>
    </w:p>
    <w:p w:rsidR="00F27BC2" w:rsidRDefault="00F27BC2" w:rsidP="00F27BC2">
      <w:pPr>
        <w:rPr>
          <w:sz w:val="24"/>
          <w:szCs w:val="24"/>
        </w:rPr>
      </w:pPr>
      <w:r>
        <w:rPr>
          <w:sz w:val="24"/>
          <w:szCs w:val="24"/>
        </w:rPr>
        <w:t>*Explain ranges I used for grid searches</w:t>
      </w:r>
    </w:p>
    <w:p w:rsidR="00114064" w:rsidRDefault="00114064" w:rsidP="00114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From the grid search which was used on the program, the number of recommended </w:t>
      </w:r>
      <w:r w:rsidR="00BE77FA">
        <w:rPr>
          <w:sz w:val="24"/>
          <w:szCs w:val="24"/>
        </w:rPr>
        <w:t xml:space="preserve">hidden </w:t>
      </w:r>
      <w:r>
        <w:rPr>
          <w:sz w:val="24"/>
          <w:szCs w:val="24"/>
        </w:rPr>
        <w:t xml:space="preserve">layers and nodes were shown </w:t>
      </w:r>
      <w:r w:rsidR="00BE77FA">
        <w:rPr>
          <w:sz w:val="24"/>
          <w:szCs w:val="24"/>
        </w:rPr>
        <w:t xml:space="preserve">through running multiple tests. The number of hidden layers recommended was 1 with 3 nodes within that layer. </w:t>
      </w:r>
    </w:p>
    <w:p w:rsidR="00F27BC2" w:rsidRDefault="00F27BC2" w:rsidP="00BE77FA">
      <w:pPr>
        <w:rPr>
          <w:sz w:val="24"/>
          <w:szCs w:val="24"/>
        </w:rPr>
      </w:pPr>
      <w:r>
        <w:rPr>
          <w:sz w:val="24"/>
          <w:szCs w:val="24"/>
        </w:rPr>
        <w:t>*Wording</w:t>
      </w:r>
    </w:p>
    <w:p w:rsidR="00F27BC2" w:rsidRDefault="00F27BC2" w:rsidP="00BE77FA">
      <w:pPr>
        <w:rPr>
          <w:sz w:val="24"/>
          <w:szCs w:val="24"/>
        </w:rPr>
      </w:pPr>
      <w:r>
        <w:rPr>
          <w:sz w:val="24"/>
          <w:szCs w:val="24"/>
        </w:rPr>
        <w:t>*Put some of this in procedures</w:t>
      </w:r>
    </w:p>
    <w:p w:rsidR="00F27BC2" w:rsidRDefault="00F27BC2" w:rsidP="00BE77FA">
      <w:pPr>
        <w:rPr>
          <w:sz w:val="24"/>
          <w:szCs w:val="24"/>
        </w:rPr>
      </w:pPr>
      <w:r>
        <w:rPr>
          <w:sz w:val="24"/>
          <w:szCs w:val="24"/>
        </w:rPr>
        <w:t xml:space="preserve">              *Change this</w:t>
      </w:r>
    </w:p>
    <w:p w:rsidR="00F27BC2" w:rsidRDefault="00F27BC2" w:rsidP="00BE77FA">
      <w:pPr>
        <w:rPr>
          <w:sz w:val="24"/>
          <w:szCs w:val="24"/>
        </w:rPr>
      </w:pPr>
      <w:r>
        <w:rPr>
          <w:sz w:val="24"/>
          <w:szCs w:val="24"/>
        </w:rPr>
        <w:t>**Table maybe</w:t>
      </w:r>
    </w:p>
    <w:p w:rsidR="00B10C74" w:rsidRDefault="00B10C74" w:rsidP="00BE77F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27BC2">
        <w:rPr>
          <w:sz w:val="24"/>
          <w:szCs w:val="24"/>
        </w:rPr>
        <w:t xml:space="preserve">Using a neural network, </w:t>
      </w:r>
      <w:proofErr w:type="gramStart"/>
      <w:r w:rsidRPr="00F27BC2">
        <w:rPr>
          <w:sz w:val="24"/>
          <w:szCs w:val="24"/>
          <w:highlight w:val="yellow"/>
        </w:rPr>
        <w:t>The</w:t>
      </w:r>
      <w:proofErr w:type="gramEnd"/>
      <w:r w:rsidRPr="00F27BC2">
        <w:rPr>
          <w:sz w:val="24"/>
          <w:szCs w:val="24"/>
          <w:highlight w:val="yellow"/>
        </w:rPr>
        <w:t xml:space="preserve"> best train and test score were then gained from cros</w:t>
      </w:r>
      <w:r w:rsidR="00A520FB" w:rsidRPr="00F27BC2">
        <w:rPr>
          <w:sz w:val="24"/>
          <w:szCs w:val="24"/>
          <w:highlight w:val="yellow"/>
        </w:rPr>
        <w:t>s validating the data.</w:t>
      </w:r>
      <w:r w:rsidR="00A520FB">
        <w:rPr>
          <w:sz w:val="24"/>
          <w:szCs w:val="24"/>
        </w:rPr>
        <w:t xml:space="preserve"> The train score resulted in </w:t>
      </w:r>
      <w:proofErr w:type="gramStart"/>
      <w:r w:rsidR="00A520FB">
        <w:rPr>
          <w:sz w:val="24"/>
          <w:szCs w:val="24"/>
        </w:rPr>
        <w:t>a</w:t>
      </w:r>
      <w:proofErr w:type="gramEnd"/>
      <w:r w:rsidR="00A520FB">
        <w:rPr>
          <w:sz w:val="24"/>
          <w:szCs w:val="24"/>
        </w:rPr>
        <w:t xml:space="preserve"> 84% accuracy from training with 60% of the data, while the test score resulted in a 90% accuracy using the remaining 40% of the data.</w:t>
      </w:r>
    </w:p>
    <w:p w:rsidR="00F27BC2" w:rsidRDefault="00F27BC2" w:rsidP="00BE77FA">
      <w:pPr>
        <w:rPr>
          <w:sz w:val="24"/>
          <w:szCs w:val="24"/>
        </w:rPr>
      </w:pPr>
      <w:r>
        <w:rPr>
          <w:sz w:val="24"/>
          <w:szCs w:val="24"/>
        </w:rPr>
        <w:t>*Lead to conclusion, don’t go all the way though.</w:t>
      </w:r>
    </w:p>
    <w:p w:rsidR="00F27BC2" w:rsidRDefault="00F27BC2" w:rsidP="00BE77FA">
      <w:pPr>
        <w:rPr>
          <w:sz w:val="24"/>
          <w:szCs w:val="24"/>
        </w:rPr>
      </w:pPr>
    </w:p>
    <w:p w:rsidR="00BE77FA" w:rsidRDefault="00BE77FA" w:rsidP="00BE77F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14064" w:rsidRDefault="00114064" w:rsidP="00114064">
      <w:pPr>
        <w:ind w:firstLine="720"/>
        <w:rPr>
          <w:sz w:val="24"/>
          <w:szCs w:val="24"/>
        </w:rPr>
      </w:pPr>
    </w:p>
    <w:p w:rsidR="00114064" w:rsidRDefault="00114064" w:rsidP="00114064">
      <w:pPr>
        <w:ind w:firstLine="720"/>
        <w:rPr>
          <w:sz w:val="24"/>
          <w:szCs w:val="24"/>
        </w:rPr>
      </w:pPr>
    </w:p>
    <w:p w:rsidR="00114064" w:rsidRDefault="00114064" w:rsidP="00114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14064" w:rsidRDefault="00114064" w:rsidP="00114064">
      <w:pPr>
        <w:ind w:firstLine="720"/>
        <w:rPr>
          <w:sz w:val="24"/>
          <w:szCs w:val="24"/>
        </w:rPr>
      </w:pPr>
    </w:p>
    <w:p w:rsidR="00114064" w:rsidRPr="004F302F" w:rsidRDefault="00114064" w:rsidP="00114064">
      <w:pPr>
        <w:ind w:firstLine="720"/>
        <w:rPr>
          <w:sz w:val="24"/>
          <w:szCs w:val="24"/>
        </w:rPr>
      </w:pPr>
    </w:p>
    <w:sectPr w:rsidR="00114064" w:rsidRPr="004F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2F"/>
    <w:rsid w:val="00114064"/>
    <w:rsid w:val="00274981"/>
    <w:rsid w:val="003C5FEE"/>
    <w:rsid w:val="004F302F"/>
    <w:rsid w:val="005448ED"/>
    <w:rsid w:val="00890053"/>
    <w:rsid w:val="008D42DB"/>
    <w:rsid w:val="00A25A06"/>
    <w:rsid w:val="00A520FB"/>
    <w:rsid w:val="00B10C74"/>
    <w:rsid w:val="00BE77FA"/>
    <w:rsid w:val="00DE61D3"/>
    <w:rsid w:val="00F2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4430"/>
  <w15:chartTrackingRefBased/>
  <w15:docId w15:val="{05F3CA67-168C-405E-ACA4-3F2DF92B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0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yler\Document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layer</a:t>
            </a:r>
            <a:r>
              <a:rPr lang="en-US" baseline="0"/>
              <a:t> size optimization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Acc.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0.89655172413793105</c:v>
                </c:pt>
                <c:pt idx="1">
                  <c:v>0.89655172413793105</c:v>
                </c:pt>
                <c:pt idx="2">
                  <c:v>0.89655172413793105</c:v>
                </c:pt>
                <c:pt idx="3">
                  <c:v>0.89655172413793105</c:v>
                </c:pt>
                <c:pt idx="4">
                  <c:v>0.93103448275862</c:v>
                </c:pt>
                <c:pt idx="5">
                  <c:v>0.89655172413793105</c:v>
                </c:pt>
                <c:pt idx="6">
                  <c:v>0.93103448275862</c:v>
                </c:pt>
                <c:pt idx="7">
                  <c:v>0.89655172413793105</c:v>
                </c:pt>
                <c:pt idx="8">
                  <c:v>0.89655172413793105</c:v>
                </c:pt>
                <c:pt idx="9">
                  <c:v>0.89655172413793105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03-4F74-AB4B-F6E2E45762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Train Acc.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0.85245901639344202</c:v>
                </c:pt>
                <c:pt idx="1">
                  <c:v>0.80327868852458995</c:v>
                </c:pt>
                <c:pt idx="2">
                  <c:v>0.83606557377049096</c:v>
                </c:pt>
                <c:pt idx="3">
                  <c:v>0.81967213114754101</c:v>
                </c:pt>
                <c:pt idx="4">
                  <c:v>0.81967213114754101</c:v>
                </c:pt>
                <c:pt idx="5">
                  <c:v>0.81967213114754101</c:v>
                </c:pt>
                <c:pt idx="6">
                  <c:v>0.81967213114754101</c:v>
                </c:pt>
                <c:pt idx="7">
                  <c:v>0.81967213114754101</c:v>
                </c:pt>
                <c:pt idx="8">
                  <c:v>0.81967213114754101</c:v>
                </c:pt>
                <c:pt idx="9">
                  <c:v>0.83606557377049096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03-4F74-AB4B-F6E2E4576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0292431"/>
        <c:axId val="1348852911"/>
      </c:scatterChart>
      <c:valAx>
        <c:axId val="1420292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Layer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852911"/>
        <c:crosses val="autoZero"/>
        <c:crossBetween val="midCat"/>
      </c:valAx>
      <c:valAx>
        <c:axId val="1348852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r>
                  <a:rPr lang="en-US" baseline="0"/>
                  <a:t>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02924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5046653543307088"/>
          <c:y val="0.15986111111111112"/>
          <c:w val="0.2935113735783027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Kuper</dc:creator>
  <cp:keywords/>
  <dc:description/>
  <cp:lastModifiedBy>Tyler Kuper</cp:lastModifiedBy>
  <cp:revision>8</cp:revision>
  <dcterms:created xsi:type="dcterms:W3CDTF">2019-12-05T20:55:00Z</dcterms:created>
  <dcterms:modified xsi:type="dcterms:W3CDTF">2019-12-15T20:27:00Z</dcterms:modified>
</cp:coreProperties>
</file>