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63FA4AAD"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w:t>
      </w:r>
      <w:proofErr w:type="gramStart"/>
      <w:r w:rsidRPr="00A5063A">
        <w:t>1,</w:t>
      </w:r>
      <w:r w:rsidRPr="00A5063A">
        <w:rPr>
          <w:rFonts w:cs="Times New Roman"/>
        </w:rPr>
        <w:t>…</w:t>
      </w:r>
      <w:proofErr w:type="gramEnd"/>
      <w:r w:rsidRPr="00A5063A">
        <w:t>,T}: operating years after COD.</w:t>
      </w:r>
    </w:p>
    <w:p w14:paraId="065A4DD6" w14:textId="77777777" w:rsidR="00A5063A" w:rsidRDefault="00A5063A" w:rsidP="00A81AD3"/>
    <w:p w14:paraId="5B6CE62B" w14:textId="77777777" w:rsidR="00A81AD3" w:rsidRPr="005B2500" w:rsidRDefault="00A81AD3" w:rsidP="00A81AD3">
      <w:pPr>
        <w:rPr>
          <w:u w:val="single"/>
        </w:rPr>
      </w:pPr>
      <w:r w:rsidRPr="005B2500">
        <w:rPr>
          <w:u w:val="single"/>
        </w:rPr>
        <w:t>Parameters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t>T [years]: financial lifetime for operating cash flows.</w:t>
      </w:r>
    </w:p>
    <w:p w14:paraId="44C21B38" w14:textId="77777777" w:rsidR="002B64DB" w:rsidRDefault="002B64DB" w:rsidP="00A81AD3"/>
    <w:p w14:paraId="6CDBF2D6" w14:textId="77777777" w:rsidR="00A81AD3" w:rsidRPr="00713309" w:rsidRDefault="00A81AD3" w:rsidP="00A81AD3">
      <w:pPr>
        <w:rPr>
          <w:u w:val="single"/>
        </w:rPr>
      </w:pPr>
      <w:r w:rsidRPr="00713309">
        <w:rPr>
          <w:u w:val="single"/>
        </w:rPr>
        <w:t>Variables</w:t>
      </w:r>
    </w:p>
    <w:p w14:paraId="739F23CD" w14:textId="0450AFA3"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xml:space="preserve">: binary build decision (1 = build, 0 = </w:t>
      </w:r>
      <w:r w:rsidR="00563FD9">
        <w:t>do not build</w:t>
      </w:r>
      <w:r w:rsidR="001917E4" w:rsidRPr="001917E4">
        <w:t>)</w:t>
      </w:r>
    </w:p>
    <w:p w14:paraId="7F510A94" w14:textId="77777777" w:rsidR="00FD2C0D" w:rsidRDefault="00FD2C0D" w:rsidP="00A81AD3"/>
    <w:p w14:paraId="56C8730C" w14:textId="77777777" w:rsidR="002A1BA6" w:rsidRPr="00713309" w:rsidRDefault="00A81AD3" w:rsidP="00A81AD3">
      <w:pPr>
        <w:rPr>
          <w:u w:val="single"/>
        </w:rPr>
      </w:pPr>
      <w:r w:rsidRPr="00713309">
        <w:rPr>
          <w:u w:val="single"/>
        </w:rPr>
        <w:t>Objective</w:t>
      </w:r>
      <w:r w:rsidR="00FD2C0D" w:rsidRPr="00713309">
        <w:rPr>
          <w:u w:val="single"/>
        </w:rPr>
        <w:t xml:space="preserve"> F</w:t>
      </w:r>
      <w:r w:rsidRPr="00713309">
        <w:rPr>
          <w:u w:val="single"/>
        </w:rPr>
        <w:t>unction</w:t>
      </w:r>
    </w:p>
    <w:p w14:paraId="1CDC0953" w14:textId="1D84C5B7" w:rsidR="00065C02" w:rsidRDefault="000945E8" w:rsidP="00A81AD3">
      <m:oMathPara>
        <m:oMath>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∆t</m:t>
                      </m:r>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0A091861" w14:textId="3FDA5BFA" w:rsidR="00065C02" w:rsidRDefault="00C93B30" w:rsidP="00F91959">
      <w:pPr>
        <w:ind w:firstLine="720"/>
      </w:pPr>
      <w:r>
        <w:t>The model minimizes the expected levelized cost of electricity (LCOE), as expressed in the objective function. The numerator represents the effective capitalized cost of construction, which increases with higher baseline costs (</w:t>
      </w:r>
      <w:proofErr w:type="spellStart"/>
      <w:r>
        <w:t>C</w:t>
      </w:r>
      <w:r w:rsidRPr="00C93B30">
        <w:rPr>
          <w:vertAlign w:val="subscript"/>
        </w:rPr>
        <w:t>base</w:t>
      </w:r>
      <w:proofErr w:type="spellEnd"/>
      <w:r>
        <w:t>), cost overruns (ϕ), financing rates (r), and delays (</w:t>
      </w:r>
      <w:proofErr w:type="spellStart"/>
      <w:r>
        <w:t>Δt</w:t>
      </w:r>
      <w:proofErr w:type="spellEnd"/>
      <w:r>
        <w:t>). The denominator reflects the present value of expected electricity revenues over the plant’s operating life, discounted by the same rate r. Permitting reform shifts the probability distributions of these uncertain parameters by shortening and stabilizing construction timelines, reducing cost overruns, and lowering financing risk. These changes decrease interest during construction (IDC), reduce the risk premium embedded in</w:t>
      </w:r>
      <w:r w:rsidR="00F91959">
        <w:t xml:space="preserve"> </w:t>
      </w:r>
      <w:r>
        <w:t>r, and cut soft costs through simpler regulatory processes. By improving predictability and reducing the likelihood of abandonment, reform lowers the expected LCOE and, equivalently, increases the project’s expected net present value (NPV).</w:t>
      </w:r>
    </w:p>
    <w:p w14:paraId="19281674" w14:textId="77777777" w:rsidR="00C93B30" w:rsidRDefault="00C93B30"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0945E8"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 xml:space="preserve">Each </w:t>
      </w:r>
      <w:proofErr w:type="gramStart"/>
      <w:r>
        <w:t>scenario s</w:t>
      </w:r>
      <w:proofErr w:type="gramEnd"/>
      <w:r>
        <w:t xml:space="preserve">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xml:space="preserve">) outcomes. The </w:t>
      </w:r>
      <w:proofErr w:type="gramStart"/>
      <w:r>
        <w:t>probabilities π</w:t>
      </w:r>
      <w:r w:rsidRPr="00C14AF8">
        <w:rPr>
          <w:vertAlign w:val="subscript"/>
        </w:rPr>
        <w:t>s</w:t>
      </w:r>
      <w:r>
        <w:t xml:space="preserve"> weight</w:t>
      </w:r>
      <w:proofErr w:type="gramEnd"/>
      <w:r>
        <w:t xml:space="preserve">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t xml:space="preserve">Policy </w:t>
      </w:r>
      <w:proofErr w:type="gramStart"/>
      <w:r w:rsidRPr="008D31A1">
        <w:rPr>
          <w:i/>
          <w:iCs/>
        </w:rPr>
        <w:t>shift</w:t>
      </w:r>
      <w:proofErr w:type="gramEnd"/>
      <w:r w:rsidRPr="008D31A1">
        <w:rPr>
          <w:i/>
          <w:iCs/>
        </w:rPr>
        <w:t xml:space="preserve">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reform</w:t>
      </w:r>
      <w:proofErr w:type="gramEnd"/>
      <w:r>
        <w:t xml:space="preserve"> </w:t>
      </w:r>
      <w:r w:rsidRPr="00DD2A5D">
        <w:t>​&lt;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baseline</w:t>
      </w:r>
      <w:r w:rsidRPr="00DD2A5D">
        <w:t>​</w:t>
      </w:r>
      <w:proofErr w:type="gramEnd"/>
      <w:r w:rsidRPr="00DD2A5D">
        <w: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reform</w:t>
      </w:r>
      <w:proofErr w:type="gramEnd"/>
      <w:r>
        <w:t xml:space="preserve"> </w:t>
      </w:r>
      <w:r w:rsidRPr="00DD2A5D">
        <w:t>​&lt;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baseline</w:t>
      </w:r>
      <w:r w:rsidRPr="00DD2A5D">
        <w:t>​</w:t>
      </w:r>
      <w:proofErr w:type="gramEnd"/>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121BB" w:rsidRDefault="009366C8" w:rsidP="009366C8">
      <w:pPr>
        <w:pStyle w:val="ListParagraph"/>
        <w:numPr>
          <w:ilvl w:val="0"/>
          <w:numId w:val="5"/>
        </w:numPr>
        <w:rPr>
          <w:u w:val="single"/>
        </w:rPr>
      </w:pPr>
      <w:r w:rsidRPr="00A121BB">
        <w:rPr>
          <w:u w:val="single"/>
        </w:rPr>
        <w:t xml:space="preserve">Feasibility </w:t>
      </w:r>
      <w:proofErr w:type="gramStart"/>
      <w:r w:rsidRPr="00A121BB">
        <w:rPr>
          <w:u w:val="single"/>
        </w:rPr>
        <w:t>condition</w:t>
      </w:r>
      <w:proofErr w:type="gramEnd"/>
      <w:r w:rsidRPr="00A121BB">
        <w:rPr>
          <w:u w:val="single"/>
        </w:rPr>
        <w:t xml:space="preserve"> for construction and operation</w:t>
      </w:r>
    </w:p>
    <w:p w14:paraId="1A03BCA4" w14:textId="77777777" w:rsidR="00DD7BDB" w:rsidRDefault="00DD7BDB" w:rsidP="00DD7BDB">
      <w:pPr>
        <w:pStyle w:val="ListParagraph"/>
      </w:pPr>
    </w:p>
    <w:p w14:paraId="782FD4AE" w14:textId="5239B0F6" w:rsidR="00D3178B" w:rsidRDefault="000945E8"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77777777" w:rsidR="009366C8" w:rsidRDefault="009366C8" w:rsidP="00A81AD3"/>
    <w:p w14:paraId="656DA088" w14:textId="4FC5CCB4" w:rsidR="00C077F4" w:rsidRPr="00FD25CB" w:rsidRDefault="00C077F4" w:rsidP="00A81AD3">
      <w:pPr>
        <w:rPr>
          <w:u w:val="single"/>
        </w:rPr>
      </w:pPr>
      <w:r w:rsidRPr="00FD25CB">
        <w:rPr>
          <w:u w:val="single"/>
        </w:rPr>
        <w:t>Sample Code</w:t>
      </w:r>
    </w:p>
    <w:p w14:paraId="4B2CA9BA" w14:textId="4CA6EB7A" w:rsidR="0057177F" w:rsidRPr="000945E8" w:rsidRDefault="000945E8" w:rsidP="00A81AD3">
      <w:pPr>
        <w:rPr>
          <w:i/>
          <w:iCs/>
        </w:rPr>
      </w:pPr>
      <w:r w:rsidRPr="000945E8">
        <w:rPr>
          <w:i/>
          <w:iCs/>
        </w:rPr>
        <w:t>Refer to text file in repository</w:t>
      </w:r>
    </w:p>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Data Sources</w:t>
      </w:r>
    </w:p>
    <w:p w14:paraId="17657F81" w14:textId="77777777" w:rsidR="00133F9E" w:rsidRPr="00B62AA9" w:rsidRDefault="002A417E" w:rsidP="002A417E">
      <w:pPr>
        <w:pStyle w:val="ListParagraph"/>
        <w:numPr>
          <w:ilvl w:val="0"/>
          <w:numId w:val="5"/>
        </w:numPr>
        <w:rPr>
          <w:rFonts w:cs="Times New Roman"/>
          <w:i/>
          <w:iCs/>
          <w:szCs w:val="24"/>
        </w:rPr>
      </w:pPr>
      <w:r w:rsidRPr="00B62AA9">
        <w:rPr>
          <w:rFonts w:cs="Times New Roman"/>
          <w:i/>
          <w:iCs/>
          <w:szCs w:val="24"/>
        </w:rPr>
        <w:t>Portugal-Pereira et al. (2018), “Better Late Than Never, but Never Late is Better: Risk Assessment of Nuclear Power Construction Projects,” Energy Policy 120, 158–166</w:t>
      </w:r>
    </w:p>
    <w:p w14:paraId="4840592B" w14:textId="77777777" w:rsidR="00133F9E" w:rsidRDefault="00133F9E" w:rsidP="00133F9E">
      <w:pPr>
        <w:pStyle w:val="ListParagraph"/>
        <w:rPr>
          <w:rFonts w:cs="Times New Roman"/>
          <w:szCs w:val="24"/>
        </w:rPr>
      </w:pPr>
    </w:p>
    <w:p w14:paraId="7051FC9E" w14:textId="14CCCE40" w:rsidR="002A417E" w:rsidRDefault="002A417E" w:rsidP="00133F9E">
      <w:pPr>
        <w:pStyle w:val="ListParagraph"/>
        <w:rPr>
          <w:rFonts w:cs="Times New Roman"/>
          <w:szCs w:val="24"/>
        </w:rPr>
      </w:pPr>
      <w:r w:rsidRPr="00133F9E">
        <w:rPr>
          <w:rFonts w:cs="Times New Roman"/>
          <w:szCs w:val="24"/>
        </w:rPr>
        <w:t xml:space="preserve">This paper compiles global data on cost overruns and construction delays for 180 reactor projects. I will use the reported mean delay (approximately 7 years) and the estimated 20 percent cost escalation per additional year to calibrate the baseline delay and overrun </w:t>
      </w:r>
      <w:r w:rsidRPr="00133F9E">
        <w:rPr>
          <w:rFonts w:cs="Times New Roman"/>
          <w:szCs w:val="24"/>
        </w:rPr>
        <w:lastRenderedPageBreak/>
        <w:t>distributions (</w:t>
      </w:r>
      <w:proofErr w:type="spellStart"/>
      <w:r w:rsidRPr="002A417E">
        <w:rPr>
          <w:rFonts w:cs="Times New Roman"/>
          <w:szCs w:val="24"/>
        </w:rPr>
        <w:t>Δt</w:t>
      </w:r>
      <w:r w:rsidRPr="007D0DE8">
        <w:rPr>
          <w:rFonts w:cs="Times New Roman"/>
          <w:szCs w:val="24"/>
          <w:vertAlign w:val="subscript"/>
        </w:rPr>
        <w:t>s</w:t>
      </w:r>
      <w:proofErr w:type="spellEnd"/>
      <w:r w:rsidRPr="002A417E">
        <w:rPr>
          <w:rFonts w:cs="Times New Roman"/>
          <w:szCs w:val="24"/>
        </w:rPr>
        <w:t>,</w:t>
      </w:r>
      <w:r w:rsidR="00133F9E">
        <w:rPr>
          <w:rFonts w:cs="Times New Roman"/>
          <w:szCs w:val="24"/>
        </w:rPr>
        <w:t xml:space="preserve"> </w:t>
      </w:r>
      <w:proofErr w:type="spellStart"/>
      <w:r w:rsidRPr="002A417E">
        <w:rPr>
          <w:rFonts w:cs="Times New Roman"/>
          <w:szCs w:val="24"/>
        </w:rPr>
        <w:t>ϕ</w:t>
      </w:r>
      <w:r w:rsidRPr="007D0DE8">
        <w:rPr>
          <w:rFonts w:cs="Times New Roman"/>
          <w:szCs w:val="24"/>
          <w:vertAlign w:val="subscript"/>
        </w:rPr>
        <w:t>s</w:t>
      </w:r>
      <w:proofErr w:type="spellEnd"/>
      <w:r w:rsidRPr="002A417E">
        <w:rPr>
          <w:rFonts w:cs="Times New Roman"/>
          <w:szCs w:val="24"/>
        </w:rPr>
        <w:t>) in the stochastic model. These data provide the foundation for modeling how permitting reform shortens delays and tightens uncertainty ranges.</w:t>
      </w:r>
    </w:p>
    <w:p w14:paraId="64010B6A" w14:textId="77777777" w:rsidR="00B62AA9" w:rsidRPr="002A417E" w:rsidRDefault="00B62AA9" w:rsidP="00133F9E">
      <w:pPr>
        <w:pStyle w:val="ListParagraph"/>
        <w:rPr>
          <w:rFonts w:cs="Times New Roman"/>
          <w:szCs w:val="24"/>
        </w:rPr>
      </w:pPr>
    </w:p>
    <w:p w14:paraId="14553269" w14:textId="77777777" w:rsidR="002A417E" w:rsidRPr="002A417E" w:rsidRDefault="002A417E"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This forthcoming INL study provides updated U.S. parameters for cost growth, financing burden, and schedule risk after 2000. I will use its reported probability density functions 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This policy report provides estimated reductions in permitting duration (25 to 40 percent) and administrative costs (10 to 15 percent) under proposed NRC process reforms. I will apply these values to define the “moderate” and “comprehensive reform” scenarios that shift the delay and soft-cost parameters in the model.</w:t>
      </w:r>
    </w:p>
    <w:p w14:paraId="13D8216C" w14:textId="77777777" w:rsidR="00DA2EEC" w:rsidRDefault="00DA2EEC" w:rsidP="00A81AD3">
      <w:pPr>
        <w:rPr>
          <w:rFonts w:cs="Times New Roman"/>
          <w:szCs w:val="24"/>
        </w:rPr>
      </w:pPr>
    </w:p>
    <w:p w14:paraId="31B0F4A5" w14:textId="08538F17" w:rsidR="00DA2EEC" w:rsidRPr="00A541D4" w:rsidRDefault="00DA2EEC" w:rsidP="00A81AD3">
      <w:pPr>
        <w:rPr>
          <w:rFonts w:cs="Times New Roman"/>
          <w:b/>
          <w:bCs/>
          <w:szCs w:val="24"/>
        </w:rPr>
      </w:pPr>
      <w:r w:rsidRPr="00A541D4">
        <w:rPr>
          <w:rFonts w:cs="Times New Roman"/>
          <w:b/>
          <w:bCs/>
          <w:szCs w:val="24"/>
        </w:rPr>
        <w:t>Assumptions</w:t>
      </w:r>
    </w:p>
    <w:p w14:paraId="3B7DE417" w14:textId="77777777" w:rsidR="00FF1AE4" w:rsidRDefault="00A76155" w:rsidP="00A76155">
      <w:pPr>
        <w:pStyle w:val="ListParagraph"/>
        <w:numPr>
          <w:ilvl w:val="0"/>
          <w:numId w:val="5"/>
        </w:numPr>
      </w:pPr>
      <w:r w:rsidRPr="00A541D4">
        <w:rPr>
          <w:i/>
          <w:iCs/>
        </w:rPr>
        <w:t>Construction Financing</w:t>
      </w:r>
      <w:r w:rsidRPr="00A76155">
        <w:t>: Interest during construction (IDC) compounds annually at the project WACC, consistent with IEA/NEA (2020) methods for levelized cost modeling.</w:t>
      </w:r>
    </w:p>
    <w:p w14:paraId="237FF71F" w14:textId="77777777" w:rsidR="00FF1AE4" w:rsidRDefault="00A76155" w:rsidP="00A76155">
      <w:pPr>
        <w:pStyle w:val="ListParagraph"/>
        <w:numPr>
          <w:ilvl w:val="0"/>
          <w:numId w:val="5"/>
        </w:numPr>
      </w:pPr>
      <w:r w:rsidRPr="00A541D4">
        <w:rPr>
          <w:i/>
          <w:iCs/>
        </w:rPr>
        <w:t>Risk Premium Reduction</w:t>
      </w:r>
      <w:r w:rsidRPr="00A76155">
        <w:t>: Permitting reform lowers the project risk premium by 150 basis points, following the midpoint of estimates in Jacobs et al. (2024).</w:t>
      </w:r>
    </w:p>
    <w:p w14:paraId="13779550" w14:textId="77777777" w:rsidR="00FF1AE4" w:rsidRDefault="00A76155" w:rsidP="00A76155">
      <w:pPr>
        <w:pStyle w:val="ListParagraph"/>
        <w:numPr>
          <w:ilvl w:val="0"/>
          <w:numId w:val="5"/>
        </w:numPr>
      </w:pPr>
      <w:r w:rsidRPr="00A541D4">
        <w:rPr>
          <w:i/>
          <w:iCs/>
        </w:rPr>
        <w:t>Abandonment Probability</w:t>
      </w:r>
      <w:r w:rsidRPr="00A76155">
        <w:t>: Projects with combined delay &gt; 14 years or cost overrun &gt; 80 percent are treated as abandoned, consistent with the historical tails reported in Portugal-Pereira et al. (2018).</w:t>
      </w:r>
    </w:p>
    <w:p w14:paraId="44DADBFB" w14:textId="77777777" w:rsidR="0094098B" w:rsidRDefault="00A76155" w:rsidP="00A76155">
      <w:pPr>
        <w:pStyle w:val="ListParagraph"/>
        <w:numPr>
          <w:ilvl w:val="0"/>
          <w:numId w:val="5"/>
        </w:numPr>
      </w:pPr>
      <w:r w:rsidRPr="00A541D4">
        <w:rPr>
          <w:i/>
          <w:iCs/>
        </w:rPr>
        <w:t>Operating Life</w:t>
      </w:r>
      <w:r w:rsidRPr="00A76155">
        <w:t>: A 60-year lifetime is assumed for private projects and up to 80 years for public ownership scenarios, consistent with IEA (2023) Projected Costs of Generating Electricity.</w:t>
      </w:r>
    </w:p>
    <w:p w14:paraId="6F324261" w14:textId="77777777" w:rsidR="0094098B" w:rsidRDefault="00A76155" w:rsidP="00A76155">
      <w:pPr>
        <w:pStyle w:val="ListParagraph"/>
        <w:numPr>
          <w:ilvl w:val="0"/>
          <w:numId w:val="5"/>
        </w:numPr>
      </w:pPr>
      <w:r w:rsidRPr="00A541D4">
        <w:rPr>
          <w:i/>
          <w:iCs/>
        </w:rPr>
        <w:t>Price and O&amp;M Path</w:t>
      </w:r>
      <w:r w:rsidRPr="00A76155">
        <w:t>: Constant real wholesale price of $60 per MWh and O&amp;M cost of $12 per MWh are used, reflecting median U.S. reactor data.</w:t>
      </w:r>
    </w:p>
    <w:p w14:paraId="42939F95" w14:textId="02B1846F" w:rsidR="00DA2EEC" w:rsidRDefault="00A76155" w:rsidP="00A76155">
      <w:pPr>
        <w:pStyle w:val="ListParagraph"/>
        <w:numPr>
          <w:ilvl w:val="0"/>
          <w:numId w:val="5"/>
        </w:numPr>
      </w:pPr>
      <w:r w:rsidRPr="00A541D4">
        <w:rPr>
          <w:i/>
          <w:iCs/>
        </w:rPr>
        <w:t>Elasticity Example (illustrative)</w:t>
      </w:r>
      <w:r w:rsidRPr="00A76155">
        <w:t>: For sensitivity testing of market response, I will assume an electricity demand elasticity of –0.5, consistent with Brown et al. (2024). This ensures that small price reductions from reform do not imply unrealistic demand growth.</w:t>
      </w:r>
    </w:p>
    <w:p w14:paraId="5526C8DB" w14:textId="77777777" w:rsidR="00A57A19" w:rsidRDefault="00A57A19" w:rsidP="00A57A19"/>
    <w:p w14:paraId="668C62BA" w14:textId="77777777" w:rsidR="00A57A19" w:rsidRDefault="00A57A19" w:rsidP="00A57A19"/>
    <w:p w14:paraId="4EB0C99F" w14:textId="51F3E5DF" w:rsidR="00A57A19" w:rsidRPr="005877F7" w:rsidRDefault="00A57A19" w:rsidP="00A57A19">
      <w:r w:rsidRPr="00A57A19">
        <w:t xml:space="preserve">These data and assumptions translate qualitative policy reforms into quantitative model inputs. Portugal-Pereira et al. (2018) and </w:t>
      </w:r>
      <w:proofErr w:type="spellStart"/>
      <w:r w:rsidRPr="00A57A19">
        <w:t>Guaita</w:t>
      </w:r>
      <w:proofErr w:type="spellEnd"/>
      <w:r w:rsidRPr="00A57A19">
        <w:t xml:space="preserve"> et al. (2025) provide statistical foundations for delay and cost distributions, while Jacobs et al. (2024) anchors plausible reform magnitudes. The listed assumptions allow the stochastic model to operate transparently with defensible parameter ranges while remaining tractable for a classroom-scale project.</w:t>
      </w:r>
    </w:p>
    <w:sectPr w:rsidR="00A57A19"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45E8"/>
    <w:rsid w:val="000972D0"/>
    <w:rsid w:val="000C5F75"/>
    <w:rsid w:val="001059BA"/>
    <w:rsid w:val="00111F89"/>
    <w:rsid w:val="00122ACB"/>
    <w:rsid w:val="00133F9E"/>
    <w:rsid w:val="00137B47"/>
    <w:rsid w:val="00164674"/>
    <w:rsid w:val="001663D4"/>
    <w:rsid w:val="00170F7E"/>
    <w:rsid w:val="00185D02"/>
    <w:rsid w:val="001917E4"/>
    <w:rsid w:val="001A1A3F"/>
    <w:rsid w:val="001C0257"/>
    <w:rsid w:val="001D3D32"/>
    <w:rsid w:val="001E21E2"/>
    <w:rsid w:val="001E2985"/>
    <w:rsid w:val="00202190"/>
    <w:rsid w:val="002079B2"/>
    <w:rsid w:val="00223484"/>
    <w:rsid w:val="00232065"/>
    <w:rsid w:val="00244786"/>
    <w:rsid w:val="00245E95"/>
    <w:rsid w:val="002501AF"/>
    <w:rsid w:val="002570CA"/>
    <w:rsid w:val="0026701D"/>
    <w:rsid w:val="00281D33"/>
    <w:rsid w:val="00283C6E"/>
    <w:rsid w:val="00283E4F"/>
    <w:rsid w:val="00291A20"/>
    <w:rsid w:val="002A1BA6"/>
    <w:rsid w:val="002A417E"/>
    <w:rsid w:val="002B5CD9"/>
    <w:rsid w:val="002B64DB"/>
    <w:rsid w:val="002C5607"/>
    <w:rsid w:val="002D708E"/>
    <w:rsid w:val="002E379B"/>
    <w:rsid w:val="002F0694"/>
    <w:rsid w:val="002F1623"/>
    <w:rsid w:val="002F7CF0"/>
    <w:rsid w:val="00300D1E"/>
    <w:rsid w:val="003232B1"/>
    <w:rsid w:val="0033475D"/>
    <w:rsid w:val="0035084E"/>
    <w:rsid w:val="00353F4E"/>
    <w:rsid w:val="003B7779"/>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563FD9"/>
    <w:rsid w:val="00564CA8"/>
    <w:rsid w:val="005702C4"/>
    <w:rsid w:val="0057177F"/>
    <w:rsid w:val="00572868"/>
    <w:rsid w:val="0057720E"/>
    <w:rsid w:val="005877F7"/>
    <w:rsid w:val="005A06F9"/>
    <w:rsid w:val="005B2500"/>
    <w:rsid w:val="005B394B"/>
    <w:rsid w:val="005C3991"/>
    <w:rsid w:val="005E452D"/>
    <w:rsid w:val="005F58BE"/>
    <w:rsid w:val="00601CAE"/>
    <w:rsid w:val="0061447E"/>
    <w:rsid w:val="00643D28"/>
    <w:rsid w:val="00665F07"/>
    <w:rsid w:val="00673398"/>
    <w:rsid w:val="006835EE"/>
    <w:rsid w:val="006A4A38"/>
    <w:rsid w:val="006C213E"/>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C44"/>
    <w:rsid w:val="008865F7"/>
    <w:rsid w:val="00891471"/>
    <w:rsid w:val="008A5DD7"/>
    <w:rsid w:val="008B3DEA"/>
    <w:rsid w:val="008D31A1"/>
    <w:rsid w:val="008D4E31"/>
    <w:rsid w:val="008E3415"/>
    <w:rsid w:val="008E60B2"/>
    <w:rsid w:val="008E6C48"/>
    <w:rsid w:val="008F4021"/>
    <w:rsid w:val="008F77A1"/>
    <w:rsid w:val="00913BA2"/>
    <w:rsid w:val="009366C8"/>
    <w:rsid w:val="0094098B"/>
    <w:rsid w:val="0094230B"/>
    <w:rsid w:val="009427C1"/>
    <w:rsid w:val="00943809"/>
    <w:rsid w:val="009502BB"/>
    <w:rsid w:val="009561CC"/>
    <w:rsid w:val="00966B52"/>
    <w:rsid w:val="00977A7B"/>
    <w:rsid w:val="009906A1"/>
    <w:rsid w:val="00995461"/>
    <w:rsid w:val="009A4942"/>
    <w:rsid w:val="009F3DD8"/>
    <w:rsid w:val="00A013E1"/>
    <w:rsid w:val="00A121BB"/>
    <w:rsid w:val="00A25A18"/>
    <w:rsid w:val="00A37812"/>
    <w:rsid w:val="00A5063A"/>
    <w:rsid w:val="00A541D4"/>
    <w:rsid w:val="00A57A19"/>
    <w:rsid w:val="00A72018"/>
    <w:rsid w:val="00A76155"/>
    <w:rsid w:val="00A80526"/>
    <w:rsid w:val="00A81AD3"/>
    <w:rsid w:val="00A82959"/>
    <w:rsid w:val="00A87729"/>
    <w:rsid w:val="00A94657"/>
    <w:rsid w:val="00AA7FB4"/>
    <w:rsid w:val="00AB17EE"/>
    <w:rsid w:val="00AC7C0A"/>
    <w:rsid w:val="00B30985"/>
    <w:rsid w:val="00B459FF"/>
    <w:rsid w:val="00B467C8"/>
    <w:rsid w:val="00B56492"/>
    <w:rsid w:val="00B62AA9"/>
    <w:rsid w:val="00B805D1"/>
    <w:rsid w:val="00B80F5D"/>
    <w:rsid w:val="00B8160B"/>
    <w:rsid w:val="00B84B2D"/>
    <w:rsid w:val="00BE1C9E"/>
    <w:rsid w:val="00BE610F"/>
    <w:rsid w:val="00C077F4"/>
    <w:rsid w:val="00C14AF8"/>
    <w:rsid w:val="00C24F31"/>
    <w:rsid w:val="00C31312"/>
    <w:rsid w:val="00C576F2"/>
    <w:rsid w:val="00C57DC6"/>
    <w:rsid w:val="00C70521"/>
    <w:rsid w:val="00C93B30"/>
    <w:rsid w:val="00C95D55"/>
    <w:rsid w:val="00CA11FB"/>
    <w:rsid w:val="00CB7FE9"/>
    <w:rsid w:val="00CC361B"/>
    <w:rsid w:val="00CD35CA"/>
    <w:rsid w:val="00CF0716"/>
    <w:rsid w:val="00CF2C3F"/>
    <w:rsid w:val="00D02F5E"/>
    <w:rsid w:val="00D04908"/>
    <w:rsid w:val="00D269B8"/>
    <w:rsid w:val="00D3178B"/>
    <w:rsid w:val="00D360DF"/>
    <w:rsid w:val="00D4154D"/>
    <w:rsid w:val="00D51ABB"/>
    <w:rsid w:val="00D53A6C"/>
    <w:rsid w:val="00D67C7E"/>
    <w:rsid w:val="00D93D4B"/>
    <w:rsid w:val="00D9674D"/>
    <w:rsid w:val="00DA0FF7"/>
    <w:rsid w:val="00DA2EEC"/>
    <w:rsid w:val="00DC6BDE"/>
    <w:rsid w:val="00DD1626"/>
    <w:rsid w:val="00DD2A5D"/>
    <w:rsid w:val="00DD2FEE"/>
    <w:rsid w:val="00DD7BDB"/>
    <w:rsid w:val="00E07E17"/>
    <w:rsid w:val="00E12F88"/>
    <w:rsid w:val="00E13ADF"/>
    <w:rsid w:val="00E20E93"/>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743E"/>
    <w:rsid w:val="00F57A8A"/>
    <w:rsid w:val="00F61D1F"/>
    <w:rsid w:val="00F651AB"/>
    <w:rsid w:val="00F81E81"/>
    <w:rsid w:val="00F9135A"/>
    <w:rsid w:val="00F91959"/>
    <w:rsid w:val="00F9451D"/>
    <w:rsid w:val="00FA3FE9"/>
    <w:rsid w:val="00FC522B"/>
    <w:rsid w:val="00FD25CB"/>
    <w:rsid w:val="00FD2C0D"/>
    <w:rsid w:val="00FE209A"/>
    <w:rsid w:val="00FF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9</cp:revision>
  <dcterms:created xsi:type="dcterms:W3CDTF">2025-10-22T16:51:00Z</dcterms:created>
  <dcterms:modified xsi:type="dcterms:W3CDTF">2025-10-22T16:58:00Z</dcterms:modified>
</cp:coreProperties>
</file>