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37EFE8" w14:textId="4C8D31EB" w:rsidR="005877F7" w:rsidRPr="00FA3FE9" w:rsidRDefault="005877F7" w:rsidP="005877F7">
      <w:pPr>
        <w:rPr>
          <w:rFonts w:cs="Times New Roman"/>
          <w:b/>
          <w:bCs/>
          <w:szCs w:val="24"/>
        </w:rPr>
      </w:pPr>
      <w:r>
        <w:rPr>
          <w:b/>
          <w:bCs/>
        </w:rPr>
        <w:t>645</w:t>
      </w:r>
      <w:r w:rsidRPr="008A6228">
        <w:rPr>
          <w:b/>
          <w:bCs/>
        </w:rPr>
        <w:t xml:space="preserve"> – </w:t>
      </w:r>
      <w:r>
        <w:rPr>
          <w:b/>
          <w:bCs/>
        </w:rPr>
        <w:t>Computational Economics</w:t>
      </w:r>
    </w:p>
    <w:p w14:paraId="1DFB6522" w14:textId="77777777" w:rsidR="005877F7" w:rsidRPr="00FA3FE9" w:rsidRDefault="005877F7" w:rsidP="005877F7">
      <w:pPr>
        <w:rPr>
          <w:rFonts w:cs="Times New Roman"/>
          <w:b/>
          <w:bCs/>
          <w:szCs w:val="24"/>
        </w:rPr>
      </w:pPr>
      <w:r w:rsidRPr="00FA3FE9">
        <w:rPr>
          <w:rFonts w:cs="Times New Roman"/>
          <w:b/>
          <w:bCs/>
          <w:szCs w:val="24"/>
        </w:rPr>
        <w:t>Tyler Linnebur</w:t>
      </w:r>
    </w:p>
    <w:p w14:paraId="506398A0" w14:textId="436E89B1" w:rsidR="005877F7" w:rsidRPr="00FA3FE9" w:rsidRDefault="005877F7" w:rsidP="005877F7">
      <w:pPr>
        <w:rPr>
          <w:rFonts w:cs="Times New Roman"/>
          <w:b/>
          <w:bCs/>
          <w:szCs w:val="24"/>
        </w:rPr>
      </w:pPr>
      <w:r w:rsidRPr="00FA3FE9">
        <w:rPr>
          <w:rFonts w:cs="Times New Roman"/>
          <w:b/>
          <w:bCs/>
          <w:szCs w:val="24"/>
        </w:rPr>
        <w:t xml:space="preserve">October </w:t>
      </w:r>
      <w:r w:rsidR="00283E4F">
        <w:rPr>
          <w:rFonts w:cs="Times New Roman"/>
          <w:b/>
          <w:bCs/>
          <w:szCs w:val="24"/>
        </w:rPr>
        <w:t>22</w:t>
      </w:r>
      <w:r w:rsidRPr="00FA3FE9">
        <w:rPr>
          <w:rFonts w:cs="Times New Roman"/>
          <w:b/>
          <w:bCs/>
          <w:szCs w:val="24"/>
        </w:rPr>
        <w:t>, 2025</w:t>
      </w:r>
    </w:p>
    <w:p w14:paraId="17E312B6" w14:textId="77777777" w:rsidR="005877F7" w:rsidRPr="00FA3FE9" w:rsidRDefault="005877F7" w:rsidP="005877F7">
      <w:pPr>
        <w:rPr>
          <w:rFonts w:cs="Times New Roman"/>
          <w:szCs w:val="24"/>
        </w:rPr>
      </w:pPr>
    </w:p>
    <w:p w14:paraId="0BD41514" w14:textId="7E957D5C" w:rsidR="00A94657" w:rsidRPr="00FA3FE9" w:rsidRDefault="005877F7" w:rsidP="00A94657">
      <w:pPr>
        <w:jc w:val="center"/>
        <w:rPr>
          <w:rFonts w:cs="Times New Roman"/>
          <w:b/>
          <w:bCs/>
          <w:szCs w:val="24"/>
        </w:rPr>
      </w:pPr>
      <w:r w:rsidRPr="00FA3FE9">
        <w:rPr>
          <w:rFonts w:cs="Times New Roman"/>
          <w:b/>
          <w:bCs/>
          <w:szCs w:val="24"/>
        </w:rPr>
        <w:t>HW1</w:t>
      </w:r>
      <w:r w:rsidR="00A94657" w:rsidRPr="00FA3FE9">
        <w:rPr>
          <w:rFonts w:cs="Times New Roman"/>
          <w:b/>
          <w:bCs/>
          <w:szCs w:val="24"/>
        </w:rPr>
        <w:t xml:space="preserve"> – P</w:t>
      </w:r>
      <w:r w:rsidRPr="00FA3FE9">
        <w:rPr>
          <w:rFonts w:cs="Times New Roman"/>
          <w:b/>
          <w:bCs/>
          <w:szCs w:val="24"/>
        </w:rPr>
        <w:t xml:space="preserve">art </w:t>
      </w:r>
      <w:r w:rsidR="00283E4F">
        <w:rPr>
          <w:rFonts w:cs="Times New Roman"/>
          <w:b/>
          <w:bCs/>
          <w:szCs w:val="24"/>
        </w:rPr>
        <w:t>B</w:t>
      </w:r>
    </w:p>
    <w:p w14:paraId="41B38745" w14:textId="77777777" w:rsidR="005877F7" w:rsidRPr="00FA3FE9" w:rsidRDefault="005877F7" w:rsidP="005877F7">
      <w:pPr>
        <w:jc w:val="center"/>
        <w:rPr>
          <w:rFonts w:cs="Times New Roman"/>
          <w:b/>
          <w:bCs/>
          <w:szCs w:val="24"/>
        </w:rPr>
      </w:pPr>
    </w:p>
    <w:p w14:paraId="72DEE6AC" w14:textId="77777777" w:rsidR="00D02F5E" w:rsidRPr="00D02F5E" w:rsidRDefault="00D02F5E" w:rsidP="00D02F5E">
      <w:pPr>
        <w:rPr>
          <w:rFonts w:cs="Times New Roman"/>
          <w:szCs w:val="24"/>
        </w:rPr>
      </w:pPr>
      <w:r w:rsidRPr="00D02F5E">
        <w:rPr>
          <w:rFonts w:cs="Times New Roman"/>
          <w:szCs w:val="24"/>
        </w:rPr>
        <w:t>When finished, upload the document to your class repository in:</w:t>
      </w:r>
    </w:p>
    <w:p w14:paraId="6C444F11" w14:textId="77777777" w:rsidR="00D02F5E" w:rsidRPr="00D02F5E" w:rsidRDefault="00D02F5E" w:rsidP="00D02F5E">
      <w:pPr>
        <w:rPr>
          <w:rFonts w:cs="Times New Roman"/>
          <w:szCs w:val="24"/>
        </w:rPr>
      </w:pPr>
      <w:r w:rsidRPr="00D02F5E">
        <w:rPr>
          <w:rFonts w:cs="Times New Roman"/>
          <w:szCs w:val="24"/>
        </w:rPr>
        <w:t>[repo base]/project/v</w:t>
      </w:r>
      <w:proofErr w:type="gramStart"/>
      <w:r w:rsidRPr="00D02F5E">
        <w:rPr>
          <w:rFonts w:cs="Times New Roman"/>
          <w:szCs w:val="24"/>
        </w:rPr>
        <w:t>1.[</w:t>
      </w:r>
      <w:proofErr w:type="gramEnd"/>
      <w:r w:rsidRPr="00D02F5E">
        <w:rPr>
          <w:rFonts w:cs="Times New Roman"/>
          <w:szCs w:val="24"/>
        </w:rPr>
        <w:t>docx/pdf/…]</w:t>
      </w:r>
    </w:p>
    <w:p w14:paraId="5757C7E1" w14:textId="77777777" w:rsidR="00D02F5E" w:rsidRDefault="00D02F5E" w:rsidP="005877F7">
      <w:pPr>
        <w:rPr>
          <w:rFonts w:cs="Times New Roman"/>
          <w:szCs w:val="24"/>
        </w:rPr>
      </w:pPr>
    </w:p>
    <w:p w14:paraId="53C6523C" w14:textId="394C33CD" w:rsidR="00D02F5E" w:rsidRDefault="003E28DA" w:rsidP="005877F7">
      <w:pPr>
        <w:rPr>
          <w:rFonts w:cs="Times New Roman"/>
          <w:szCs w:val="24"/>
        </w:rPr>
      </w:pPr>
      <w:r w:rsidRPr="003E28DA">
        <w:rPr>
          <w:rFonts w:cs="Times New Roman"/>
          <w:szCs w:val="24"/>
        </w:rPr>
        <w:t>Q1 (50 points):</w:t>
      </w:r>
    </w:p>
    <w:p w14:paraId="789F8CBF" w14:textId="77777777" w:rsidR="003E28DA" w:rsidRPr="003E28DA" w:rsidRDefault="003E28DA" w:rsidP="003E28DA">
      <w:pPr>
        <w:rPr>
          <w:rFonts w:cs="Times New Roman"/>
          <w:szCs w:val="24"/>
        </w:rPr>
      </w:pPr>
      <w:r w:rsidRPr="003E28DA">
        <w:rPr>
          <w:rFonts w:cs="Times New Roman"/>
          <w:szCs w:val="24"/>
        </w:rPr>
        <w:t>Write out the indices, parameters, variables, objective</w:t>
      </w:r>
    </w:p>
    <w:p w14:paraId="2ED84E92" w14:textId="1BE7730D" w:rsidR="003E28DA" w:rsidRDefault="003E28DA" w:rsidP="003E28DA">
      <w:pPr>
        <w:rPr>
          <w:rFonts w:cs="Times New Roman"/>
          <w:szCs w:val="24"/>
        </w:rPr>
      </w:pPr>
      <w:r w:rsidRPr="003E28DA">
        <w:rPr>
          <w:rFonts w:cs="Times New Roman"/>
          <w:szCs w:val="24"/>
        </w:rPr>
        <w:t>function (if applicable), and constraints for your project</w:t>
      </w:r>
    </w:p>
    <w:p w14:paraId="0CF4C09A" w14:textId="77777777" w:rsidR="003E28DA" w:rsidRDefault="003E28DA" w:rsidP="003E28DA">
      <w:pPr>
        <w:rPr>
          <w:rFonts w:cs="Times New Roman"/>
          <w:szCs w:val="24"/>
        </w:rPr>
      </w:pPr>
    </w:p>
    <w:p w14:paraId="6F1360D9" w14:textId="77777777" w:rsidR="003E28DA" w:rsidRPr="003E28DA" w:rsidRDefault="003E28DA" w:rsidP="003E28DA">
      <w:pPr>
        <w:rPr>
          <w:rFonts w:cs="Times New Roman"/>
          <w:szCs w:val="24"/>
        </w:rPr>
      </w:pPr>
      <w:r w:rsidRPr="003E28DA">
        <w:rPr>
          <w:rFonts w:cs="Times New Roman"/>
          <w:szCs w:val="24"/>
        </w:rPr>
        <w:t>Make sure to explain the logic behind the objective function</w:t>
      </w:r>
    </w:p>
    <w:p w14:paraId="55775752" w14:textId="77777777" w:rsidR="003E28DA" w:rsidRPr="003E28DA" w:rsidRDefault="003E28DA" w:rsidP="003E28DA">
      <w:pPr>
        <w:rPr>
          <w:rFonts w:cs="Times New Roman"/>
          <w:szCs w:val="24"/>
        </w:rPr>
      </w:pPr>
      <w:r w:rsidRPr="003E28DA">
        <w:rPr>
          <w:rFonts w:cs="Times New Roman"/>
          <w:szCs w:val="24"/>
        </w:rPr>
        <w:t>and constraints – I will not interpret your intended logic and</w:t>
      </w:r>
    </w:p>
    <w:p w14:paraId="5E5DD39B" w14:textId="77777777" w:rsidR="003E28DA" w:rsidRPr="003E28DA" w:rsidRDefault="003E28DA" w:rsidP="003E28DA">
      <w:pPr>
        <w:rPr>
          <w:rFonts w:cs="Times New Roman"/>
          <w:szCs w:val="24"/>
        </w:rPr>
      </w:pPr>
      <w:r w:rsidRPr="003E28DA">
        <w:rPr>
          <w:rFonts w:cs="Times New Roman"/>
          <w:szCs w:val="24"/>
        </w:rPr>
        <w:t>will penalize any model descriptions not containing</w:t>
      </w:r>
    </w:p>
    <w:p w14:paraId="644C0F02" w14:textId="508BD3F3" w:rsidR="003E28DA" w:rsidRDefault="003E28DA" w:rsidP="003E28DA">
      <w:pPr>
        <w:rPr>
          <w:rFonts w:cs="Times New Roman"/>
          <w:szCs w:val="24"/>
        </w:rPr>
      </w:pPr>
      <w:r w:rsidRPr="003E28DA">
        <w:rPr>
          <w:rFonts w:cs="Times New Roman"/>
          <w:szCs w:val="24"/>
        </w:rPr>
        <w:t>explanatory text</w:t>
      </w:r>
    </w:p>
    <w:p w14:paraId="56436EC1" w14:textId="77777777" w:rsidR="003E28DA" w:rsidRDefault="003E28DA" w:rsidP="003E28DA">
      <w:pPr>
        <w:rPr>
          <w:rFonts w:cs="Times New Roman"/>
          <w:szCs w:val="24"/>
        </w:rPr>
      </w:pPr>
    </w:p>
    <w:p w14:paraId="00397C4E" w14:textId="77777777" w:rsidR="003E28DA" w:rsidRPr="003E28DA" w:rsidRDefault="003E28DA" w:rsidP="003E28DA">
      <w:pPr>
        <w:rPr>
          <w:rFonts w:cs="Times New Roman"/>
          <w:szCs w:val="24"/>
        </w:rPr>
      </w:pPr>
      <w:r w:rsidRPr="003E28DA">
        <w:rPr>
          <w:rFonts w:cs="Times New Roman"/>
          <w:szCs w:val="24"/>
        </w:rPr>
        <w:t>Code a simple version of the model – when needed, make</w:t>
      </w:r>
    </w:p>
    <w:p w14:paraId="43B77ACF" w14:textId="38625E47" w:rsidR="003E28DA" w:rsidRDefault="003E28DA" w:rsidP="003E28DA">
      <w:pPr>
        <w:rPr>
          <w:rFonts w:cs="Times New Roman"/>
          <w:szCs w:val="24"/>
        </w:rPr>
      </w:pPr>
      <w:r w:rsidRPr="003E28DA">
        <w:rPr>
          <w:rFonts w:cs="Times New Roman"/>
          <w:szCs w:val="24"/>
        </w:rPr>
        <w:t>heroic assumptions</w:t>
      </w:r>
    </w:p>
    <w:p w14:paraId="497B47FB" w14:textId="77777777" w:rsidR="003E28DA" w:rsidRDefault="003E28DA" w:rsidP="003E28DA">
      <w:pPr>
        <w:rPr>
          <w:rFonts w:cs="Times New Roman"/>
          <w:szCs w:val="24"/>
        </w:rPr>
      </w:pPr>
    </w:p>
    <w:p w14:paraId="266E26EF" w14:textId="45230264" w:rsidR="003E28DA" w:rsidRDefault="003E28DA" w:rsidP="003E28DA">
      <w:pPr>
        <w:rPr>
          <w:rFonts w:cs="Times New Roman"/>
          <w:szCs w:val="24"/>
        </w:rPr>
      </w:pPr>
      <w:r w:rsidRPr="003E28DA">
        <w:rPr>
          <w:rFonts w:cs="Times New Roman"/>
          <w:szCs w:val="24"/>
        </w:rPr>
        <w:t>Q2 (25 points):</w:t>
      </w:r>
    </w:p>
    <w:p w14:paraId="3682C0EE" w14:textId="77777777" w:rsidR="003E28DA" w:rsidRDefault="003E28DA" w:rsidP="003E28DA">
      <w:pPr>
        <w:rPr>
          <w:rFonts w:cs="Times New Roman"/>
          <w:szCs w:val="24"/>
        </w:rPr>
      </w:pPr>
    </w:p>
    <w:p w14:paraId="47A60B60" w14:textId="77777777" w:rsidR="0026701D" w:rsidRPr="0026701D" w:rsidRDefault="0026701D" w:rsidP="0026701D">
      <w:pPr>
        <w:rPr>
          <w:rFonts w:cs="Times New Roman"/>
          <w:szCs w:val="24"/>
        </w:rPr>
      </w:pPr>
      <w:r w:rsidRPr="0026701D">
        <w:rPr>
          <w:rFonts w:cs="Times New Roman"/>
          <w:szCs w:val="24"/>
        </w:rPr>
        <w:t>List out (at least two) data sources that are necessary for your</w:t>
      </w:r>
    </w:p>
    <w:p w14:paraId="480F2E9A" w14:textId="77777777" w:rsidR="0026701D" w:rsidRPr="0026701D" w:rsidRDefault="0026701D" w:rsidP="0026701D">
      <w:pPr>
        <w:rPr>
          <w:rFonts w:cs="Times New Roman"/>
          <w:szCs w:val="24"/>
        </w:rPr>
      </w:pPr>
      <w:r w:rsidRPr="0026701D">
        <w:rPr>
          <w:rFonts w:cs="Times New Roman"/>
          <w:szCs w:val="24"/>
        </w:rPr>
        <w:t>project and describe how you will use them in 2-3 sentences</w:t>
      </w:r>
    </w:p>
    <w:p w14:paraId="4232213C" w14:textId="097BA3CA" w:rsidR="003E28DA" w:rsidRDefault="0026701D" w:rsidP="0026701D">
      <w:pPr>
        <w:rPr>
          <w:rFonts w:cs="Times New Roman"/>
          <w:szCs w:val="24"/>
        </w:rPr>
      </w:pPr>
      <w:r w:rsidRPr="0026701D">
        <w:rPr>
          <w:rFonts w:cs="Times New Roman"/>
          <w:szCs w:val="24"/>
        </w:rPr>
        <w:t>each. Present at least one figure or table summarizing the data.</w:t>
      </w:r>
    </w:p>
    <w:p w14:paraId="490C9A25" w14:textId="77777777" w:rsidR="0026701D" w:rsidRDefault="0026701D" w:rsidP="0026701D">
      <w:pPr>
        <w:rPr>
          <w:rFonts w:cs="Times New Roman"/>
          <w:szCs w:val="24"/>
        </w:rPr>
      </w:pPr>
    </w:p>
    <w:p w14:paraId="74C02701" w14:textId="77777777" w:rsidR="0026701D" w:rsidRPr="0026701D" w:rsidRDefault="0026701D" w:rsidP="0026701D">
      <w:pPr>
        <w:rPr>
          <w:rFonts w:cs="Times New Roman"/>
          <w:szCs w:val="24"/>
        </w:rPr>
      </w:pPr>
      <w:r w:rsidRPr="0026701D">
        <w:rPr>
          <w:rFonts w:cs="Times New Roman"/>
          <w:szCs w:val="24"/>
        </w:rPr>
        <w:t>In addition, explain and document any assumptions necessary</w:t>
      </w:r>
    </w:p>
    <w:p w14:paraId="0AA534A6" w14:textId="77777777" w:rsidR="0026701D" w:rsidRPr="0026701D" w:rsidRDefault="0026701D" w:rsidP="0026701D">
      <w:pPr>
        <w:rPr>
          <w:rFonts w:cs="Times New Roman"/>
          <w:szCs w:val="24"/>
        </w:rPr>
      </w:pPr>
      <w:r w:rsidRPr="0026701D">
        <w:rPr>
          <w:rFonts w:cs="Times New Roman"/>
          <w:szCs w:val="24"/>
        </w:rPr>
        <w:t>for your model – e.g. “I will assume that the elasticity of demand</w:t>
      </w:r>
    </w:p>
    <w:p w14:paraId="37D1940E" w14:textId="7EE16B57" w:rsidR="0026701D" w:rsidRPr="00D02F5E" w:rsidRDefault="0026701D" w:rsidP="0026701D">
      <w:pPr>
        <w:rPr>
          <w:rFonts w:cs="Times New Roman"/>
          <w:szCs w:val="24"/>
        </w:rPr>
      </w:pPr>
      <w:r w:rsidRPr="0026701D">
        <w:rPr>
          <w:rFonts w:cs="Times New Roman"/>
          <w:szCs w:val="24"/>
        </w:rPr>
        <w:t>is -0.5, consistent with Brown et al. (2024)”</w:t>
      </w:r>
    </w:p>
    <w:p w14:paraId="4047417B" w14:textId="77777777" w:rsidR="00D02F5E" w:rsidRPr="00D02F5E" w:rsidRDefault="00D02F5E" w:rsidP="005877F7">
      <w:pPr>
        <w:rPr>
          <w:rFonts w:cs="Times New Roman"/>
          <w:szCs w:val="24"/>
        </w:rPr>
      </w:pPr>
    </w:p>
    <w:p w14:paraId="2A7C4A1B" w14:textId="77777777" w:rsidR="00D02F5E" w:rsidRPr="00D02F5E" w:rsidRDefault="00D02F5E" w:rsidP="005877F7">
      <w:pPr>
        <w:rPr>
          <w:rFonts w:cs="Times New Roman"/>
          <w:szCs w:val="24"/>
        </w:rPr>
      </w:pPr>
    </w:p>
    <w:p w14:paraId="56EDEDA9" w14:textId="08A7DAA9" w:rsidR="005877F7" w:rsidRPr="00FA3FE9" w:rsidRDefault="005877F7" w:rsidP="005877F7">
      <w:pPr>
        <w:rPr>
          <w:rFonts w:cs="Times New Roman"/>
          <w:b/>
          <w:bCs/>
          <w:szCs w:val="24"/>
        </w:rPr>
      </w:pPr>
      <w:r w:rsidRPr="00FA3FE9">
        <w:rPr>
          <w:rFonts w:cs="Times New Roman"/>
          <w:b/>
          <w:bCs/>
          <w:szCs w:val="24"/>
        </w:rPr>
        <w:t>Question 1</w:t>
      </w:r>
    </w:p>
    <w:p w14:paraId="2D3208C9" w14:textId="3A54FCF0" w:rsidR="00A81AD3" w:rsidRPr="005B2500" w:rsidRDefault="00A81AD3" w:rsidP="00A81AD3">
      <w:pPr>
        <w:rPr>
          <w:u w:val="single"/>
        </w:rPr>
      </w:pPr>
      <w:r w:rsidRPr="005B2500">
        <w:rPr>
          <w:u w:val="single"/>
        </w:rPr>
        <w:t>I</w:t>
      </w:r>
      <w:r w:rsidRPr="005B2500">
        <w:rPr>
          <w:u w:val="single"/>
        </w:rPr>
        <w:t>ndices</w:t>
      </w:r>
    </w:p>
    <w:p w14:paraId="088CE68E" w14:textId="77777777" w:rsidR="008E6C48" w:rsidRDefault="00A5063A" w:rsidP="00A5063A">
      <w:pPr>
        <w:pStyle w:val="ListParagraph"/>
        <w:numPr>
          <w:ilvl w:val="0"/>
          <w:numId w:val="6"/>
        </w:numPr>
      </w:pPr>
      <w:r>
        <w:t xml:space="preserve">s </w:t>
      </w:r>
      <w:r w:rsidRPr="00A5063A">
        <w:rPr>
          <w:rFonts w:ascii="Cambria Math" w:hAnsi="Cambria Math" w:cs="Cambria Math"/>
        </w:rPr>
        <w:t>∈</w:t>
      </w:r>
      <w:r>
        <w:rPr>
          <w:rFonts w:ascii="Cambria Math" w:hAnsi="Cambria Math" w:cs="Cambria Math"/>
        </w:rPr>
        <w:t xml:space="preserve"> </w:t>
      </w:r>
      <w:r w:rsidRPr="00A5063A">
        <w:t>S: scenarios for permitting and construction outcomes (delay, overrun, abandonment), with probabilities</w:t>
      </w:r>
      <w:r w:rsidR="004B6026">
        <w:t xml:space="preserve"> </w:t>
      </w:r>
      <w:r w:rsidRPr="00A5063A">
        <w:t>π</w:t>
      </w:r>
      <w:r w:rsidRPr="004B6026">
        <w:rPr>
          <w:vertAlign w:val="subscript"/>
        </w:rPr>
        <w:t>s</w:t>
      </w:r>
      <w:r w:rsidRPr="00A5063A">
        <w:t>​ and ∑</w:t>
      </w:r>
      <w:r w:rsidRPr="004B6026">
        <w:rPr>
          <w:rFonts w:ascii="Cambria Math" w:hAnsi="Cambria Math" w:cs="Cambria Math"/>
          <w:vertAlign w:val="subscript"/>
        </w:rPr>
        <w:t>𝑠</w:t>
      </w:r>
      <w:r w:rsidRPr="00A5063A">
        <w:rPr>
          <w:rFonts w:ascii="Cambria Math" w:hAnsi="Cambria Math" w:cs="Cambria Math"/>
        </w:rPr>
        <w:t>𝜋</w:t>
      </w:r>
      <w:r w:rsidRPr="004B6026">
        <w:rPr>
          <w:rFonts w:ascii="Cambria Math" w:hAnsi="Cambria Math" w:cs="Cambria Math"/>
          <w:vertAlign w:val="subscript"/>
        </w:rPr>
        <w:t>𝑠</w:t>
      </w:r>
      <w:r w:rsidRPr="00A5063A">
        <w:t xml:space="preserve"> = 1 </w:t>
      </w:r>
    </w:p>
    <w:p w14:paraId="477EFF45" w14:textId="63FA4AAD" w:rsidR="00A81AD3" w:rsidRDefault="00A5063A" w:rsidP="00A5063A">
      <w:pPr>
        <w:pStyle w:val="ListParagraph"/>
        <w:numPr>
          <w:ilvl w:val="0"/>
          <w:numId w:val="6"/>
        </w:numPr>
      </w:pPr>
      <w:r w:rsidRPr="00A5063A">
        <w:t>t</w:t>
      </w:r>
      <w:r w:rsidR="008E6C48">
        <w:t xml:space="preserve"> </w:t>
      </w:r>
      <w:r w:rsidRPr="00A5063A">
        <w:rPr>
          <w:rFonts w:ascii="Cambria Math" w:hAnsi="Cambria Math" w:cs="Cambria Math"/>
        </w:rPr>
        <w:t>∈</w:t>
      </w:r>
      <w:r w:rsidR="008E6C48">
        <w:rPr>
          <w:rFonts w:ascii="Cambria Math" w:hAnsi="Cambria Math" w:cs="Cambria Math"/>
        </w:rPr>
        <w:t xml:space="preserve"> </w:t>
      </w:r>
      <w:r w:rsidRPr="00A5063A">
        <w:t>{</w:t>
      </w:r>
      <w:proofErr w:type="gramStart"/>
      <w:r w:rsidRPr="00A5063A">
        <w:t>1,</w:t>
      </w:r>
      <w:r w:rsidRPr="00A5063A">
        <w:rPr>
          <w:rFonts w:cs="Times New Roman"/>
        </w:rPr>
        <w:t>…</w:t>
      </w:r>
      <w:proofErr w:type="gramEnd"/>
      <w:r w:rsidRPr="00A5063A">
        <w:t>,T}: operating years after COD.</w:t>
      </w:r>
    </w:p>
    <w:p w14:paraId="065A4DD6" w14:textId="77777777" w:rsidR="00A5063A" w:rsidRDefault="00A5063A" w:rsidP="00A81AD3"/>
    <w:p w14:paraId="5B6CE62B" w14:textId="77777777" w:rsidR="00A81AD3" w:rsidRPr="005B2500" w:rsidRDefault="00A81AD3" w:rsidP="00A81AD3">
      <w:pPr>
        <w:rPr>
          <w:u w:val="single"/>
        </w:rPr>
      </w:pPr>
      <w:r w:rsidRPr="005B2500">
        <w:rPr>
          <w:u w:val="single"/>
        </w:rPr>
        <w:t>P</w:t>
      </w:r>
      <w:r w:rsidRPr="005B2500">
        <w:rPr>
          <w:u w:val="single"/>
        </w:rPr>
        <w:t>arameters</w:t>
      </w:r>
    </w:p>
    <w:p w14:paraId="351E5525" w14:textId="77777777" w:rsidR="002B64DB" w:rsidRDefault="002B64DB" w:rsidP="002B64DB">
      <w:pPr>
        <w:pStyle w:val="ListParagraph"/>
        <w:numPr>
          <w:ilvl w:val="0"/>
          <w:numId w:val="6"/>
        </w:numPr>
      </w:pPr>
      <w:proofErr w:type="spellStart"/>
      <w:r>
        <w:t>C</w:t>
      </w:r>
      <w:r w:rsidRPr="002B64DB">
        <w:rPr>
          <w:vertAlign w:val="subscript"/>
        </w:rPr>
        <w:t>base</w:t>
      </w:r>
      <w:proofErr w:type="spellEnd"/>
      <w:r>
        <w:t xml:space="preserve"> [$]: baseline EPC capital (include soft costs unless noted separately).</w:t>
      </w:r>
    </w:p>
    <w:p w14:paraId="48D9E8C3" w14:textId="608D698C" w:rsidR="00E90918" w:rsidRDefault="002B64DB" w:rsidP="002B64DB">
      <w:pPr>
        <w:pStyle w:val="ListParagraph"/>
        <w:numPr>
          <w:ilvl w:val="0"/>
          <w:numId w:val="6"/>
        </w:numPr>
      </w:pPr>
      <w:proofErr w:type="spellStart"/>
      <w:r>
        <w:t>ϕ</w:t>
      </w:r>
      <w:r w:rsidRPr="002B64DB">
        <w:rPr>
          <w:vertAlign w:val="subscript"/>
        </w:rPr>
        <w:t>s</w:t>
      </w:r>
      <w:proofErr w:type="spellEnd"/>
      <w:r>
        <w:t xml:space="preserve"> [</w:t>
      </w:r>
      <w:r w:rsidR="005B2500">
        <w:t>decimal</w:t>
      </w:r>
      <w:r>
        <w:t>]: cost overrun multiplier in scenario s (e.g., 0.25 means +25%).</w:t>
      </w:r>
    </w:p>
    <w:p w14:paraId="42F13570" w14:textId="77777777" w:rsidR="00E90918" w:rsidRDefault="002B64DB" w:rsidP="002B64DB">
      <w:pPr>
        <w:pStyle w:val="ListParagraph"/>
        <w:numPr>
          <w:ilvl w:val="0"/>
          <w:numId w:val="6"/>
        </w:numPr>
      </w:pPr>
      <w:proofErr w:type="spellStart"/>
      <w:r>
        <w:t>Δt</w:t>
      </w:r>
      <w:r w:rsidRPr="00E90918">
        <w:rPr>
          <w:vertAlign w:val="subscript"/>
        </w:rPr>
        <w:t>s</w:t>
      </w:r>
      <w:proofErr w:type="spellEnd"/>
      <w:r>
        <w:t xml:space="preserve"> [years]: time from FID to COD in scenario s.</w:t>
      </w:r>
    </w:p>
    <w:p w14:paraId="034EE1D0" w14:textId="77777777" w:rsidR="005B2500" w:rsidRDefault="002B64DB" w:rsidP="002B64DB">
      <w:pPr>
        <w:pStyle w:val="ListParagraph"/>
        <w:numPr>
          <w:ilvl w:val="0"/>
          <w:numId w:val="6"/>
        </w:numPr>
      </w:pPr>
      <w:r>
        <w:t>r [</w:t>
      </w:r>
      <w:r w:rsidR="00E90918">
        <w:t>%</w:t>
      </w:r>
      <w:r>
        <w:t>]: risk-adjusted discount rate (WACC plus risk premium).</w:t>
      </w:r>
    </w:p>
    <w:p w14:paraId="2DFAE625" w14:textId="2F1F2268" w:rsidR="005B2500" w:rsidRDefault="002B64DB" w:rsidP="002B64DB">
      <w:pPr>
        <w:pStyle w:val="ListParagraph"/>
        <w:numPr>
          <w:ilvl w:val="0"/>
          <w:numId w:val="6"/>
        </w:numPr>
      </w:pPr>
      <w:r>
        <w:t>p</w:t>
      </w:r>
      <w:r w:rsidRPr="005B2500">
        <w:rPr>
          <w:vertAlign w:val="subscript"/>
        </w:rPr>
        <w:t>t</w:t>
      </w:r>
      <w:r>
        <w:t xml:space="preserve"> [$/MWh]: expected real price in year t.</w:t>
      </w:r>
    </w:p>
    <w:p w14:paraId="6C05A1DA" w14:textId="5877AD25" w:rsidR="005B2500" w:rsidRDefault="002B64DB" w:rsidP="002B64DB">
      <w:pPr>
        <w:pStyle w:val="ListParagraph"/>
        <w:numPr>
          <w:ilvl w:val="0"/>
          <w:numId w:val="6"/>
        </w:numPr>
      </w:pPr>
      <w:r>
        <w:t>Q</w:t>
      </w:r>
      <w:r w:rsidRPr="005B2500">
        <w:rPr>
          <w:vertAlign w:val="subscript"/>
        </w:rPr>
        <w:t>t</w:t>
      </w:r>
      <w:r>
        <w:t xml:space="preserve"> [MWh]: expected energy in year t (e.g., 8760 × Cap × CF, adjusted for outages if desired).</w:t>
      </w:r>
    </w:p>
    <w:p w14:paraId="1751ECE1" w14:textId="56072AE6" w:rsidR="00A81AD3" w:rsidRDefault="002B64DB" w:rsidP="002B64DB">
      <w:pPr>
        <w:pStyle w:val="ListParagraph"/>
        <w:numPr>
          <w:ilvl w:val="0"/>
          <w:numId w:val="6"/>
        </w:numPr>
      </w:pPr>
      <w:r>
        <w:lastRenderedPageBreak/>
        <w:t>T [years]: financial lifetime for operating cash flows.</w:t>
      </w:r>
    </w:p>
    <w:p w14:paraId="44C21B38" w14:textId="77777777" w:rsidR="002B64DB" w:rsidRDefault="002B64DB" w:rsidP="00A81AD3"/>
    <w:p w14:paraId="6CDBF2D6" w14:textId="77777777" w:rsidR="00A81AD3" w:rsidRPr="00713309" w:rsidRDefault="00A81AD3" w:rsidP="00A81AD3">
      <w:pPr>
        <w:rPr>
          <w:u w:val="single"/>
        </w:rPr>
      </w:pPr>
      <w:r w:rsidRPr="00713309">
        <w:rPr>
          <w:u w:val="single"/>
        </w:rPr>
        <w:t>V</w:t>
      </w:r>
      <w:r w:rsidRPr="00713309">
        <w:rPr>
          <w:u w:val="single"/>
        </w:rPr>
        <w:t>ariables</w:t>
      </w:r>
    </w:p>
    <w:p w14:paraId="739F23CD" w14:textId="0450AFA3" w:rsidR="001917E4" w:rsidRDefault="005B394B" w:rsidP="001917E4">
      <w:pPr>
        <w:pStyle w:val="ListParagraph"/>
        <w:numPr>
          <w:ilvl w:val="0"/>
          <w:numId w:val="5"/>
        </w:numPr>
      </w:pPr>
      <w:r>
        <w:t xml:space="preserve">x </w:t>
      </w:r>
      <w:r w:rsidRPr="00A5063A">
        <w:rPr>
          <w:rFonts w:ascii="Cambria Math" w:hAnsi="Cambria Math" w:cs="Cambria Math"/>
        </w:rPr>
        <w:t>∈</w:t>
      </w:r>
      <w:r>
        <w:rPr>
          <w:rFonts w:ascii="Cambria Math" w:hAnsi="Cambria Math" w:cs="Cambria Math"/>
        </w:rPr>
        <w:t xml:space="preserve"> {0,1}</w:t>
      </w:r>
      <w:r w:rsidR="001917E4" w:rsidRPr="001917E4">
        <w:t xml:space="preserve">: binary build decision (1 = build, 0 = </w:t>
      </w:r>
      <w:r w:rsidR="00563FD9">
        <w:t>do not build</w:t>
      </w:r>
      <w:r w:rsidR="001917E4" w:rsidRPr="001917E4">
        <w:t>)</w:t>
      </w:r>
    </w:p>
    <w:p w14:paraId="7F510A94" w14:textId="77777777" w:rsidR="00FD2C0D" w:rsidRDefault="00FD2C0D" w:rsidP="00A81AD3"/>
    <w:p w14:paraId="56C8730C" w14:textId="77777777" w:rsidR="002A1BA6" w:rsidRPr="00713309" w:rsidRDefault="00A81AD3" w:rsidP="00A81AD3">
      <w:pPr>
        <w:rPr>
          <w:u w:val="single"/>
        </w:rPr>
      </w:pPr>
      <w:r w:rsidRPr="00713309">
        <w:rPr>
          <w:u w:val="single"/>
        </w:rPr>
        <w:t>O</w:t>
      </w:r>
      <w:r w:rsidRPr="00713309">
        <w:rPr>
          <w:u w:val="single"/>
        </w:rPr>
        <w:t>bjective</w:t>
      </w:r>
      <w:r w:rsidR="00FD2C0D" w:rsidRPr="00713309">
        <w:rPr>
          <w:u w:val="single"/>
        </w:rPr>
        <w:t xml:space="preserve"> F</w:t>
      </w:r>
      <w:r w:rsidRPr="00713309">
        <w:rPr>
          <w:u w:val="single"/>
        </w:rPr>
        <w:t>unction</w:t>
      </w:r>
    </w:p>
    <w:p w14:paraId="1CDC0953" w14:textId="1D84C5B7" w:rsidR="00065C02" w:rsidRDefault="00F072FF" w:rsidP="00A81AD3">
      <m:oMathPara>
        <m:oMath>
          <m:sSub>
            <m:sSubPr>
              <m:ctrlPr>
                <w:rPr>
                  <w:rFonts w:ascii="Cambria Math" w:hAnsi="Cambria Math"/>
                  <w:i/>
                </w:rPr>
              </m:ctrlPr>
            </m:sSubPr>
            <m:e>
              <m:r>
                <w:rPr>
                  <w:rFonts w:ascii="Cambria Math" w:hAnsi="Cambria Math"/>
                </w:rPr>
                <m:t>min</m:t>
              </m:r>
            </m:e>
            <m:sub>
              <m:r>
                <w:rPr>
                  <w:rFonts w:ascii="Cambria Math" w:hAnsi="Cambria Math"/>
                </w:rPr>
                <m:t>x</m:t>
              </m:r>
            </m:sub>
          </m:sSub>
          <m:r>
            <w:rPr>
              <w:rFonts w:ascii="Cambria Math" w:hAnsi="Cambria Math"/>
            </w:rPr>
            <m:t xml:space="preserve"> E </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base</m:t>
                      </m:r>
                    </m:sub>
                  </m:sSub>
                  <m:r>
                    <w:rPr>
                      <w:rFonts w:ascii="Cambria Math" w:hAnsi="Cambria Math"/>
                    </w:rPr>
                    <m:t>(1+ϕ)</m:t>
                  </m:r>
                  <m:sSup>
                    <m:sSupPr>
                      <m:ctrlPr>
                        <w:rPr>
                          <w:rFonts w:ascii="Cambria Math" w:hAnsi="Cambria Math"/>
                          <w:i/>
                        </w:rPr>
                      </m:ctrlPr>
                    </m:sSupPr>
                    <m:e>
                      <m:r>
                        <w:rPr>
                          <w:rFonts w:ascii="Cambria Math" w:hAnsi="Cambria Math"/>
                        </w:rPr>
                        <m:t>(1+r)</m:t>
                      </m:r>
                    </m:e>
                    <m:sup>
                      <m:r>
                        <w:rPr>
                          <w:rFonts w:ascii="Cambria Math" w:hAnsi="Cambria Math"/>
                        </w:rPr>
                        <m:t>∆t</m:t>
                      </m:r>
                    </m:sup>
                  </m:sSup>
                </m:num>
                <m:den>
                  <m:nary>
                    <m:naryPr>
                      <m:chr m:val="∑"/>
                      <m:limLoc m:val="subSup"/>
                      <m:ctrlPr>
                        <w:rPr>
                          <w:rFonts w:ascii="Cambria Math" w:hAnsi="Cambria Math"/>
                          <w:i/>
                        </w:rPr>
                      </m:ctrlPr>
                    </m:naryPr>
                    <m:sub>
                      <m:r>
                        <w:rPr>
                          <w:rFonts w:ascii="Cambria Math" w:hAnsi="Cambria Math"/>
                        </w:rPr>
                        <m:t>t=</m:t>
                      </m:r>
                      <m:r>
                        <m:rPr>
                          <m:sty m:val="p"/>
                        </m:rPr>
                        <w:rPr>
                          <w:rFonts w:ascii="Cambria Math" w:hAnsi="Cambria Math"/>
                        </w:rPr>
                        <m:t>Δ</m:t>
                      </m:r>
                      <m:r>
                        <w:rPr>
                          <w:rFonts w:ascii="Cambria Math" w:hAnsi="Cambria Math"/>
                        </w:rPr>
                        <m:t>t+1</m:t>
                      </m:r>
                    </m:sub>
                    <m:sup>
                      <m:r>
                        <w:rPr>
                          <w:rFonts w:ascii="Cambria Math" w:hAnsi="Cambria Math"/>
                        </w:rPr>
                        <m:t>T</m:t>
                      </m:r>
                    </m:sup>
                    <m:e>
                      <m:f>
                        <m:fPr>
                          <m:ctrlPr>
                            <w:rPr>
                              <w:rFonts w:ascii="Cambria Math" w:hAnsi="Cambria Math"/>
                              <w:i/>
                            </w:rPr>
                          </m:ctrlPr>
                        </m:fPr>
                        <m:num>
                          <m:r>
                            <w:rPr>
                              <w:rFonts w:ascii="Cambria Math" w:hAnsi="Cambria Math"/>
                            </w:rPr>
                            <m:t>E[</m:t>
                          </m:r>
                          <m:sSub>
                            <m:sSubPr>
                              <m:ctrlPr>
                                <w:rPr>
                                  <w:rFonts w:ascii="Cambria Math" w:hAnsi="Cambria Math"/>
                                  <w:i/>
                                </w:rPr>
                              </m:ctrlPr>
                            </m:sSubPr>
                            <m:e>
                              <m:r>
                                <w:rPr>
                                  <w:rFonts w:ascii="Cambria Math" w:hAnsi="Cambria Math"/>
                                </w:rPr>
                                <m:t>P</m:t>
                              </m:r>
                            </m:e>
                            <m:sub>
                              <m:r>
                                <w:rPr>
                                  <w:rFonts w:ascii="Cambria Math" w:hAnsi="Cambria Math"/>
                                </w:rPr>
                                <m:t>t</m:t>
                              </m:r>
                            </m:sub>
                          </m:sSub>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num>
                        <m:den>
                          <m:sSup>
                            <m:sSupPr>
                              <m:ctrlPr>
                                <w:rPr>
                                  <w:rFonts w:ascii="Cambria Math" w:hAnsi="Cambria Math"/>
                                  <w:i/>
                                </w:rPr>
                              </m:ctrlPr>
                            </m:sSupPr>
                            <m:e>
                              <m:r>
                                <w:rPr>
                                  <w:rFonts w:ascii="Cambria Math" w:hAnsi="Cambria Math"/>
                                </w:rPr>
                                <m:t>(1+r)</m:t>
                              </m:r>
                            </m:e>
                            <m:sup>
                              <m:r>
                                <w:rPr>
                                  <w:rFonts w:ascii="Cambria Math" w:hAnsi="Cambria Math"/>
                                </w:rPr>
                                <m:t>t</m:t>
                              </m:r>
                            </m:sup>
                          </m:sSup>
                        </m:den>
                      </m:f>
                    </m:e>
                  </m:nary>
                </m:den>
              </m:f>
            </m:e>
          </m:d>
        </m:oMath>
      </m:oMathPara>
    </w:p>
    <w:p w14:paraId="0527F464" w14:textId="77777777" w:rsidR="00065C02" w:rsidRDefault="00065C02" w:rsidP="00A81AD3"/>
    <w:p w14:paraId="0A091861" w14:textId="3FDA5BFA" w:rsidR="00065C02" w:rsidRDefault="00C93B30" w:rsidP="00F91959">
      <w:pPr>
        <w:ind w:firstLine="720"/>
      </w:pPr>
      <w:r>
        <w:t>The model minimizes the expected levelized cost of electricity (LCOE), as expressed in the objective function. The numerator represents the effective capitalized cost of construction, which increases with higher baseline costs (</w:t>
      </w:r>
      <w:proofErr w:type="spellStart"/>
      <w:r>
        <w:t>C</w:t>
      </w:r>
      <w:r w:rsidRPr="00C93B30">
        <w:rPr>
          <w:vertAlign w:val="subscript"/>
        </w:rPr>
        <w:t>base</w:t>
      </w:r>
      <w:proofErr w:type="spellEnd"/>
      <w:r>
        <w:t xml:space="preserve">), </w:t>
      </w:r>
      <w:r>
        <w:t xml:space="preserve">cost overruns </w:t>
      </w:r>
      <w:r>
        <w:t>(</w:t>
      </w:r>
      <w:r>
        <w:t xml:space="preserve">ϕ), financing rates </w:t>
      </w:r>
      <w:r>
        <w:t>(</w:t>
      </w:r>
      <w:r>
        <w:t>r), and delays (</w:t>
      </w:r>
      <w:proofErr w:type="spellStart"/>
      <w:r>
        <w:t>Δt</w:t>
      </w:r>
      <w:proofErr w:type="spellEnd"/>
      <w:r>
        <w:t>). The denominator reflects the present value of expected electricity revenues over the plant’s operating life, discounted by the same rate r. Permitting reform shifts the probability distributions of these uncertain parameters by shortening and stabilizing construction timelines, reducing cost overruns, and lowering financing risk. These changes decrease interest during construction (IDC), reduce the risk premium embedded in</w:t>
      </w:r>
      <w:r w:rsidR="00F91959">
        <w:t xml:space="preserve"> </w:t>
      </w:r>
      <w:r>
        <w:t>r, and cut soft costs through simpler regulatory processes. By improving predictability and reducing the likelihood of abandonment, reform lowers the expected LCOE and, equivalently, increases the project’s expected net present value (NPV).</w:t>
      </w:r>
    </w:p>
    <w:p w14:paraId="19281674" w14:textId="77777777" w:rsidR="00C93B30" w:rsidRDefault="00C93B30" w:rsidP="00C93B30"/>
    <w:p w14:paraId="7606D399" w14:textId="217535AC" w:rsidR="005877F7" w:rsidRPr="009906A1" w:rsidRDefault="002A1BA6" w:rsidP="00A81AD3">
      <w:pPr>
        <w:rPr>
          <w:u w:val="single"/>
        </w:rPr>
      </w:pPr>
      <w:r w:rsidRPr="009906A1">
        <w:rPr>
          <w:u w:val="single"/>
        </w:rPr>
        <w:t>C</w:t>
      </w:r>
      <w:r w:rsidR="00A81AD3" w:rsidRPr="009906A1">
        <w:rPr>
          <w:u w:val="single"/>
        </w:rPr>
        <w:t>onstraints</w:t>
      </w:r>
    </w:p>
    <w:p w14:paraId="2CD1F12C" w14:textId="77777777" w:rsidR="009366C8" w:rsidRPr="00D93D4B" w:rsidRDefault="009366C8" w:rsidP="009366C8">
      <w:pPr>
        <w:pStyle w:val="ListParagraph"/>
        <w:numPr>
          <w:ilvl w:val="0"/>
          <w:numId w:val="5"/>
        </w:numPr>
        <w:rPr>
          <w:i/>
          <w:iCs/>
        </w:rPr>
      </w:pPr>
      <w:r w:rsidRPr="00D93D4B">
        <w:rPr>
          <w:i/>
          <w:iCs/>
        </w:rPr>
        <w:t>Scenario probabilities</w:t>
      </w:r>
    </w:p>
    <w:p w14:paraId="5E9F9CEF" w14:textId="77777777" w:rsidR="00C14AF8" w:rsidRDefault="00C14AF8" w:rsidP="00C14AF8">
      <w:pPr>
        <w:pStyle w:val="ListParagraph"/>
      </w:pPr>
    </w:p>
    <w:p w14:paraId="5B6DB39B" w14:textId="09352425" w:rsidR="00C14AF8" w:rsidRDefault="00C95D55" w:rsidP="00C14AF8">
      <w:pPr>
        <w:pStyle w:val="ListParagraph"/>
      </w:pPr>
      <m:oMathPara>
        <m:oMath>
          <m:nary>
            <m:naryPr>
              <m:chr m:val="∑"/>
              <m:limLoc m:val="undOvr"/>
              <m:supHide m:val="1"/>
              <m:ctrlPr>
                <w:rPr>
                  <w:rFonts w:ascii="Cambria Math" w:hAnsi="Cambria Math"/>
                  <w:i/>
                </w:rPr>
              </m:ctrlPr>
            </m:naryPr>
            <m:sub>
              <m:r>
                <w:rPr>
                  <w:rFonts w:ascii="Cambria Math" w:hAnsi="Cambria Math"/>
                </w:rPr>
                <m:t>s ∈ S</m:t>
              </m:r>
            </m:sub>
            <m:sup/>
            <m:e>
              <m:sSub>
                <m:sSubPr>
                  <m:ctrlPr>
                    <w:rPr>
                      <w:rFonts w:ascii="Cambria Math" w:hAnsi="Cambria Math"/>
                      <w:i/>
                    </w:rPr>
                  </m:ctrlPr>
                </m:sSubPr>
                <m:e>
                  <m:r>
                    <w:rPr>
                      <w:rFonts w:ascii="Cambria Math" w:hAnsi="Cambria Math"/>
                    </w:rPr>
                    <m:t>π</m:t>
                  </m:r>
                </m:e>
                <m:sub>
                  <m:r>
                    <w:rPr>
                      <w:rFonts w:ascii="Cambria Math" w:hAnsi="Cambria Math"/>
                    </w:rPr>
                    <m:t>s</m:t>
                  </m:r>
                </m:sub>
              </m:sSub>
            </m:e>
          </m:nary>
          <m:r>
            <w:rPr>
              <w:rFonts w:ascii="Cambria Math" w:hAnsi="Cambria Math"/>
            </w:rPr>
            <m:t xml:space="preserve">, </m:t>
          </m:r>
          <m:sSub>
            <m:sSubPr>
              <m:ctrlPr>
                <w:rPr>
                  <w:rFonts w:ascii="Cambria Math" w:hAnsi="Cambria Math"/>
                  <w:i/>
                </w:rPr>
              </m:ctrlPr>
            </m:sSubPr>
            <m:e>
              <m:r>
                <w:rPr>
                  <w:rFonts w:ascii="Cambria Math" w:hAnsi="Cambria Math"/>
                </w:rPr>
                <m:t>π</m:t>
              </m:r>
            </m:e>
            <m:sub>
              <m:r>
                <w:rPr>
                  <w:rFonts w:ascii="Cambria Math" w:hAnsi="Cambria Math"/>
                </w:rPr>
                <m:t>s</m:t>
              </m:r>
            </m:sub>
          </m:sSub>
          <m:r>
            <w:rPr>
              <w:rFonts w:ascii="Cambria Math" w:hAnsi="Cambria Math"/>
            </w:rPr>
            <m:t>≥0</m:t>
          </m:r>
        </m:oMath>
      </m:oMathPara>
    </w:p>
    <w:p w14:paraId="3A5CABA1" w14:textId="77777777" w:rsidR="00C14AF8" w:rsidRDefault="00C14AF8" w:rsidP="00C14AF8">
      <w:pPr>
        <w:pStyle w:val="ListParagraph"/>
      </w:pPr>
    </w:p>
    <w:p w14:paraId="45946979" w14:textId="65B18E5F" w:rsidR="00C14AF8" w:rsidRDefault="00C14AF8" w:rsidP="00C14AF8">
      <w:pPr>
        <w:pStyle w:val="ListParagraph"/>
      </w:pPr>
      <w:r>
        <w:t xml:space="preserve">Each </w:t>
      </w:r>
      <w:proofErr w:type="gramStart"/>
      <w:r>
        <w:t>scenario s</w:t>
      </w:r>
      <w:proofErr w:type="gramEnd"/>
      <w:r>
        <w:t xml:space="preserve"> represents a possible realization of delay (</w:t>
      </w:r>
      <w:proofErr w:type="spellStart"/>
      <w:r>
        <w:t>Δt</w:t>
      </w:r>
      <w:r w:rsidRPr="00C14AF8">
        <w:rPr>
          <w:vertAlign w:val="subscript"/>
        </w:rPr>
        <w:t>s</w:t>
      </w:r>
      <w:proofErr w:type="spellEnd"/>
      <w:r>
        <w:t>) and cost overrun (</w:t>
      </w:r>
      <w:proofErr w:type="spellStart"/>
      <w:r>
        <w:t>ϕ</w:t>
      </w:r>
      <w:r w:rsidRPr="00C14AF8">
        <w:rPr>
          <w:vertAlign w:val="subscript"/>
        </w:rPr>
        <w:t>s</w:t>
      </w:r>
      <w:proofErr w:type="spellEnd"/>
      <w:r>
        <w:t xml:space="preserve">) outcomes. The </w:t>
      </w:r>
      <w:proofErr w:type="gramStart"/>
      <w:r>
        <w:t>probabilities π</w:t>
      </w:r>
      <w:r w:rsidRPr="00C14AF8">
        <w:rPr>
          <w:vertAlign w:val="subscript"/>
        </w:rPr>
        <w:t>s</w:t>
      </w:r>
      <w:r>
        <w:t xml:space="preserve"> weight</w:t>
      </w:r>
      <w:proofErr w:type="gramEnd"/>
      <w:r>
        <w:t xml:space="preserve"> each scenario in the expected value of the objective function.</w:t>
      </w:r>
    </w:p>
    <w:p w14:paraId="5F185EDD" w14:textId="77777777" w:rsidR="00C14AF8" w:rsidRDefault="00C14AF8" w:rsidP="00C14AF8">
      <w:pPr>
        <w:pStyle w:val="ListParagraph"/>
      </w:pPr>
    </w:p>
    <w:p w14:paraId="612E458E" w14:textId="77777777" w:rsidR="009366C8" w:rsidRPr="00D93D4B" w:rsidRDefault="009366C8" w:rsidP="009366C8">
      <w:pPr>
        <w:pStyle w:val="ListParagraph"/>
        <w:numPr>
          <w:ilvl w:val="0"/>
          <w:numId w:val="5"/>
        </w:numPr>
        <w:rPr>
          <w:i/>
          <w:iCs/>
        </w:rPr>
      </w:pPr>
      <w:r w:rsidRPr="00D93D4B">
        <w:rPr>
          <w:i/>
          <w:iCs/>
        </w:rPr>
        <w:t>Delay and cost overrun bounds</w:t>
      </w:r>
    </w:p>
    <w:p w14:paraId="40F81D77" w14:textId="77777777" w:rsidR="00564CA8" w:rsidRDefault="00564CA8" w:rsidP="00564CA8">
      <w:pPr>
        <w:pStyle w:val="ListParagraph"/>
      </w:pPr>
    </w:p>
    <w:p w14:paraId="0B2A45DB" w14:textId="50A3FBA4" w:rsidR="00564CA8" w:rsidRDefault="00564CA8" w:rsidP="009906A1">
      <w:pPr>
        <w:pStyle w:val="ListParagraph"/>
        <w:jc w:val="center"/>
      </w:pPr>
      <w:proofErr w:type="spellStart"/>
      <w:r w:rsidRPr="00564CA8">
        <w:t>Δt</w:t>
      </w:r>
      <w:r w:rsidRPr="00564CA8">
        <w:rPr>
          <w:vertAlign w:val="subscript"/>
        </w:rPr>
        <w:t>min</w:t>
      </w:r>
      <w:proofErr w:type="spellEnd"/>
      <w:r>
        <w:rPr>
          <w:vertAlign w:val="subscript"/>
        </w:rPr>
        <w:t xml:space="preserve"> </w:t>
      </w:r>
      <w:r w:rsidRPr="00564CA8">
        <w:t>​≤</w:t>
      </w:r>
      <w:r>
        <w:t xml:space="preserve"> </w:t>
      </w:r>
      <w:proofErr w:type="spellStart"/>
      <w:r w:rsidRPr="00564CA8">
        <w:t>Δt</w:t>
      </w:r>
      <w:r w:rsidRPr="00564CA8">
        <w:rPr>
          <w:vertAlign w:val="subscript"/>
        </w:rPr>
        <w:t>s</w:t>
      </w:r>
      <w:proofErr w:type="spellEnd"/>
      <w:r w:rsidRPr="00564CA8">
        <w:t>​</w:t>
      </w:r>
      <w:r>
        <w:t xml:space="preserve"> </w:t>
      </w:r>
      <w:r w:rsidRPr="00564CA8">
        <w:t>≤</w:t>
      </w:r>
      <w:r>
        <w:t xml:space="preserve"> </w:t>
      </w:r>
      <w:proofErr w:type="spellStart"/>
      <w:r w:rsidRPr="00564CA8">
        <w:t>Δt</w:t>
      </w:r>
      <w:r w:rsidRPr="009906A1">
        <w:rPr>
          <w:vertAlign w:val="subscript"/>
        </w:rPr>
        <w:t>max</w:t>
      </w:r>
      <w:proofErr w:type="spellEnd"/>
      <w:r w:rsidRPr="00564CA8">
        <w:t>​,</w:t>
      </w:r>
      <w:r w:rsidR="009906A1">
        <w:t xml:space="preserve"> </w:t>
      </w:r>
      <w:proofErr w:type="spellStart"/>
      <w:r w:rsidRPr="00564CA8">
        <w:t>ϕ</w:t>
      </w:r>
      <w:r w:rsidRPr="009906A1">
        <w:rPr>
          <w:vertAlign w:val="subscript"/>
        </w:rPr>
        <w:t>min</w:t>
      </w:r>
      <w:proofErr w:type="spellEnd"/>
      <w:r w:rsidR="009906A1">
        <w:t xml:space="preserve"> </w:t>
      </w:r>
      <w:r w:rsidRPr="00564CA8">
        <w:t>​≤</w:t>
      </w:r>
      <w:r w:rsidR="009906A1">
        <w:t xml:space="preserve"> </w:t>
      </w:r>
      <w:proofErr w:type="spellStart"/>
      <w:r w:rsidRPr="00564CA8">
        <w:t>ϕ</w:t>
      </w:r>
      <w:r w:rsidRPr="009906A1">
        <w:rPr>
          <w:vertAlign w:val="subscript"/>
        </w:rPr>
        <w:t>s</w:t>
      </w:r>
      <w:proofErr w:type="spellEnd"/>
      <w:r w:rsidR="009906A1">
        <w:t xml:space="preserve"> </w:t>
      </w:r>
      <w:r w:rsidRPr="00564CA8">
        <w:t>​≤</w:t>
      </w:r>
      <w:r w:rsidR="009906A1">
        <w:t xml:space="preserve"> </w:t>
      </w:r>
      <w:proofErr w:type="spellStart"/>
      <w:r w:rsidRPr="00564CA8">
        <w:t>ϕ</w:t>
      </w:r>
      <w:r w:rsidRPr="009906A1">
        <w:rPr>
          <w:vertAlign w:val="subscript"/>
        </w:rPr>
        <w:t>max</w:t>
      </w:r>
      <w:proofErr w:type="spellEnd"/>
      <w:r w:rsidRPr="00564CA8">
        <w:t>​</w:t>
      </w:r>
    </w:p>
    <w:p w14:paraId="3250F39B" w14:textId="77777777" w:rsidR="00564CA8" w:rsidRDefault="00564CA8" w:rsidP="00564CA8">
      <w:pPr>
        <w:pStyle w:val="ListParagraph"/>
      </w:pPr>
    </w:p>
    <w:p w14:paraId="54A39084" w14:textId="57DFB9F5" w:rsidR="00564CA8" w:rsidRDefault="00564CA8" w:rsidP="00564CA8">
      <w:pPr>
        <w:pStyle w:val="ListParagraph"/>
      </w:pPr>
      <w:r w:rsidRPr="00564CA8">
        <w:t>These constraints ensure delays and overruns remain within realistic limits (e.g., truncating extreme values). Under reform, both the mean and variance of these parameters decrease.</w:t>
      </w:r>
    </w:p>
    <w:p w14:paraId="72D0341D" w14:textId="77777777" w:rsidR="00564CA8" w:rsidRDefault="00564CA8" w:rsidP="00564CA8">
      <w:pPr>
        <w:pStyle w:val="ListParagraph"/>
      </w:pPr>
    </w:p>
    <w:p w14:paraId="2B931604" w14:textId="77777777" w:rsidR="009366C8" w:rsidRPr="008D31A1" w:rsidRDefault="009366C8" w:rsidP="009366C8">
      <w:pPr>
        <w:pStyle w:val="ListParagraph"/>
        <w:numPr>
          <w:ilvl w:val="0"/>
          <w:numId w:val="5"/>
        </w:numPr>
        <w:rPr>
          <w:i/>
          <w:iCs/>
        </w:rPr>
      </w:pPr>
      <w:r w:rsidRPr="008D31A1">
        <w:rPr>
          <w:i/>
          <w:iCs/>
        </w:rPr>
        <w:t xml:space="preserve">Policy </w:t>
      </w:r>
      <w:proofErr w:type="gramStart"/>
      <w:r w:rsidRPr="008D31A1">
        <w:rPr>
          <w:i/>
          <w:iCs/>
        </w:rPr>
        <w:t>shift</w:t>
      </w:r>
      <w:proofErr w:type="gramEnd"/>
      <w:r w:rsidRPr="008D31A1">
        <w:rPr>
          <w:i/>
          <w:iCs/>
        </w:rPr>
        <w:t xml:space="preserve"> relationships</w:t>
      </w:r>
    </w:p>
    <w:p w14:paraId="1C7F42D2" w14:textId="77777777" w:rsidR="00D93D4B" w:rsidRDefault="00D93D4B" w:rsidP="00D93D4B">
      <w:pPr>
        <w:pStyle w:val="ListParagraph"/>
      </w:pPr>
    </w:p>
    <w:p w14:paraId="19FA84DA" w14:textId="64842025" w:rsidR="00D93D4B" w:rsidRDefault="00DD2A5D" w:rsidP="00DD2A5D">
      <w:pPr>
        <w:pStyle w:val="ListParagraph"/>
        <w:jc w:val="center"/>
      </w:pPr>
      <w:proofErr w:type="spellStart"/>
      <w:r w:rsidRPr="00DD2A5D">
        <w:t>R</w:t>
      </w:r>
      <w:r w:rsidRPr="001663D4">
        <w:rPr>
          <w:vertAlign w:val="subscript"/>
        </w:rPr>
        <w:t>reform</w:t>
      </w:r>
      <w:proofErr w:type="spellEnd"/>
      <w:r>
        <w:t xml:space="preserve"> </w:t>
      </w:r>
      <w:r w:rsidRPr="00DD2A5D">
        <w:t>​&lt;</w:t>
      </w:r>
      <w:r>
        <w:t xml:space="preserve"> </w:t>
      </w:r>
      <w:proofErr w:type="spellStart"/>
      <w:r w:rsidRPr="00DD2A5D">
        <w:t>r</w:t>
      </w:r>
      <w:r w:rsidRPr="001663D4">
        <w:rPr>
          <w:vertAlign w:val="subscript"/>
        </w:rPr>
        <w:t>baseline</w:t>
      </w:r>
      <w:proofErr w:type="spellEnd"/>
      <w:r w:rsidRPr="00DD2A5D">
        <w:t>​,</w:t>
      </w:r>
      <w:r>
        <w:t xml:space="preserve"> </w:t>
      </w:r>
      <w:r w:rsidRPr="00DD2A5D">
        <w:t>E[</w:t>
      </w:r>
      <w:proofErr w:type="spellStart"/>
      <w:r w:rsidRPr="00DD2A5D">
        <w:t>Δ</w:t>
      </w:r>
      <w:proofErr w:type="gramStart"/>
      <w:r w:rsidRPr="00DD2A5D">
        <w:t>t</w:t>
      </w:r>
      <w:r w:rsidRPr="001663D4">
        <w:rPr>
          <w:vertAlign w:val="subscript"/>
        </w:rPr>
        <w:t>s</w:t>
      </w:r>
      <w:proofErr w:type="spellEnd"/>
      <w:r w:rsidRPr="00DD2A5D">
        <w:t>​]</w:t>
      </w:r>
      <w:r w:rsidRPr="001663D4">
        <w:rPr>
          <w:vertAlign w:val="subscript"/>
        </w:rPr>
        <w:t>reform</w:t>
      </w:r>
      <w:proofErr w:type="gramEnd"/>
      <w:r>
        <w:t xml:space="preserve"> </w:t>
      </w:r>
      <w:r w:rsidRPr="00DD2A5D">
        <w:t>​&lt;</w:t>
      </w:r>
      <w:r>
        <w:t xml:space="preserve"> </w:t>
      </w:r>
      <w:r w:rsidRPr="00DD2A5D">
        <w:t>E[</w:t>
      </w:r>
      <w:proofErr w:type="spellStart"/>
      <w:r w:rsidRPr="00DD2A5D">
        <w:t>Δ</w:t>
      </w:r>
      <w:proofErr w:type="gramStart"/>
      <w:r w:rsidRPr="00DD2A5D">
        <w:t>t</w:t>
      </w:r>
      <w:r w:rsidRPr="001663D4">
        <w:rPr>
          <w:vertAlign w:val="subscript"/>
        </w:rPr>
        <w:t>s</w:t>
      </w:r>
      <w:proofErr w:type="spellEnd"/>
      <w:r w:rsidRPr="00DD2A5D">
        <w:t>​]</w:t>
      </w:r>
      <w:r w:rsidRPr="001663D4">
        <w:rPr>
          <w:vertAlign w:val="subscript"/>
        </w:rPr>
        <w:t>baseline</w:t>
      </w:r>
      <w:r w:rsidRPr="00DD2A5D">
        <w:t>​</w:t>
      </w:r>
      <w:proofErr w:type="gramEnd"/>
      <w:r w:rsidRPr="00DD2A5D">
        <w:t>,</w:t>
      </w:r>
      <w:r>
        <w:t xml:space="preserve"> </w:t>
      </w:r>
      <w:r w:rsidRPr="00DD2A5D">
        <w:t>E[</w:t>
      </w:r>
      <w:proofErr w:type="spellStart"/>
      <w:r w:rsidRPr="00DD2A5D">
        <w:t>ϕ</w:t>
      </w:r>
      <w:proofErr w:type="gramStart"/>
      <w:r w:rsidRPr="008D31A1">
        <w:rPr>
          <w:vertAlign w:val="subscript"/>
        </w:rPr>
        <w:t>s</w:t>
      </w:r>
      <w:proofErr w:type="spellEnd"/>
      <w:r w:rsidRPr="00DD2A5D">
        <w:t>​]</w:t>
      </w:r>
      <w:r w:rsidRPr="008D31A1">
        <w:rPr>
          <w:vertAlign w:val="subscript"/>
        </w:rPr>
        <w:t>reform</w:t>
      </w:r>
      <w:proofErr w:type="gramEnd"/>
      <w:r>
        <w:t xml:space="preserve"> </w:t>
      </w:r>
      <w:r w:rsidRPr="00DD2A5D">
        <w:t>​&lt;</w:t>
      </w:r>
      <w:r>
        <w:t xml:space="preserve"> </w:t>
      </w:r>
      <w:r w:rsidRPr="00DD2A5D">
        <w:t>E[</w:t>
      </w:r>
      <w:proofErr w:type="spellStart"/>
      <w:r w:rsidRPr="00DD2A5D">
        <w:t>ϕ</w:t>
      </w:r>
      <w:proofErr w:type="gramStart"/>
      <w:r w:rsidRPr="008D31A1">
        <w:rPr>
          <w:vertAlign w:val="subscript"/>
        </w:rPr>
        <w:t>s</w:t>
      </w:r>
      <w:proofErr w:type="spellEnd"/>
      <w:r w:rsidRPr="00DD2A5D">
        <w:t>​]</w:t>
      </w:r>
      <w:r w:rsidRPr="008D31A1">
        <w:rPr>
          <w:vertAlign w:val="subscript"/>
        </w:rPr>
        <w:t>baseline</w:t>
      </w:r>
      <w:r w:rsidRPr="00DD2A5D">
        <w:t>​</w:t>
      </w:r>
      <w:proofErr w:type="gramEnd"/>
    </w:p>
    <w:p w14:paraId="0E5EE3C5" w14:textId="77777777" w:rsidR="00D93D4B" w:rsidRDefault="00D93D4B" w:rsidP="00D93D4B">
      <w:pPr>
        <w:pStyle w:val="ListParagraph"/>
      </w:pPr>
    </w:p>
    <w:p w14:paraId="6F79D89B" w14:textId="611CA381" w:rsidR="00D93D4B" w:rsidRDefault="00DD2A5D" w:rsidP="00D93D4B">
      <w:pPr>
        <w:pStyle w:val="ListParagraph"/>
      </w:pPr>
      <w:r w:rsidRPr="00DD2A5D">
        <w:lastRenderedPageBreak/>
        <w:t>These comparative conditions represent the effect of permitting reform, which shortens timelines, reduces uncertainty, and lowers financing risk. They are not strict optimization constraints but define how parameter inputs differ between policy cases.</w:t>
      </w:r>
    </w:p>
    <w:p w14:paraId="3DC19917" w14:textId="77777777" w:rsidR="00DD2A5D" w:rsidRDefault="00DD2A5D" w:rsidP="00D93D4B">
      <w:pPr>
        <w:pStyle w:val="ListParagraph"/>
      </w:pPr>
    </w:p>
    <w:p w14:paraId="63FA7E64" w14:textId="2CF77011" w:rsidR="00C077F4" w:rsidRPr="00A121BB" w:rsidRDefault="009366C8" w:rsidP="009366C8">
      <w:pPr>
        <w:pStyle w:val="ListParagraph"/>
        <w:numPr>
          <w:ilvl w:val="0"/>
          <w:numId w:val="5"/>
        </w:numPr>
        <w:rPr>
          <w:u w:val="single"/>
        </w:rPr>
      </w:pPr>
      <w:r w:rsidRPr="00A121BB">
        <w:rPr>
          <w:u w:val="single"/>
        </w:rPr>
        <w:t xml:space="preserve">Feasibility </w:t>
      </w:r>
      <w:proofErr w:type="gramStart"/>
      <w:r w:rsidRPr="00A121BB">
        <w:rPr>
          <w:u w:val="single"/>
        </w:rPr>
        <w:t>condition</w:t>
      </w:r>
      <w:proofErr w:type="gramEnd"/>
      <w:r w:rsidRPr="00A121BB">
        <w:rPr>
          <w:u w:val="single"/>
        </w:rPr>
        <w:t xml:space="preserve"> for construction and operation</w:t>
      </w:r>
    </w:p>
    <w:p w14:paraId="1A03BCA4" w14:textId="77777777" w:rsidR="00DD7BDB" w:rsidRDefault="00DD7BDB" w:rsidP="00DD7BDB">
      <w:pPr>
        <w:pStyle w:val="ListParagraph"/>
      </w:pPr>
    </w:p>
    <w:p w14:paraId="782FD4AE" w14:textId="5239B0F6" w:rsidR="00D3178B" w:rsidRDefault="00A121BB" w:rsidP="00DD7BDB">
      <w:pPr>
        <w:pStyle w:val="ListParagraph"/>
      </w:pPr>
      <m:oMathPara>
        <m:oMath>
          <m:sSub>
            <m:sSubPr>
              <m:ctrlPr>
                <w:rPr>
                  <w:rFonts w:ascii="Cambria Math" w:hAnsi="Cambria Math"/>
                  <w:i/>
                </w:rPr>
              </m:ctrlPr>
            </m:sSubPr>
            <m:e>
              <m:r>
                <w:rPr>
                  <w:rFonts w:ascii="Cambria Math" w:hAnsi="Cambria Math"/>
                </w:rPr>
                <m:t>C</m:t>
              </m:r>
            </m:e>
            <m:sub>
              <m:r>
                <w:rPr>
                  <w:rFonts w:ascii="Cambria Math" w:hAnsi="Cambria Math"/>
                </w:rPr>
                <m:t>base</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ϕ</m:t>
                  </m:r>
                </m:e>
                <m:sub>
                  <m:r>
                    <w:rPr>
                      <w:rFonts w:ascii="Cambria Math" w:hAnsi="Cambria Math"/>
                    </w:rPr>
                    <m:t>s</m:t>
                  </m:r>
                </m:sub>
              </m:sSub>
            </m:e>
          </m:d>
          <m:d>
            <m:dPr>
              <m:ctrlPr>
                <w:rPr>
                  <w:rFonts w:ascii="Cambria Math" w:hAnsi="Cambria Math"/>
                  <w:i/>
                </w:rPr>
              </m:ctrlPr>
            </m:dPr>
            <m:e>
              <m:r>
                <w:rPr>
                  <w:rFonts w:ascii="Cambria Math" w:hAnsi="Cambria Math"/>
                </w:rPr>
                <m:t>1+r</m:t>
              </m:r>
            </m:e>
          </m:d>
          <m:r>
            <w:rPr>
              <w:rFonts w:ascii="Cambria Math" w:hAnsi="Cambria Math"/>
            </w:rPr>
            <m:t>&gt;0,</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+1</m:t>
              </m:r>
            </m:sub>
            <m: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+T</m:t>
              </m:r>
            </m:sup>
            <m:e>
              <m:f>
                <m:fPr>
                  <m:ctrlPr>
                    <w:rPr>
                      <w:rFonts w:ascii="Cambria Math" w:hAnsi="Cambria Math"/>
                      <w:i/>
                    </w:rPr>
                  </m:ctrlPr>
                </m:fPr>
                <m:num>
                  <m:r>
                    <w:rPr>
                      <w:rFonts w:ascii="Cambria Math" w:hAnsi="Cambria Math"/>
                    </w:rPr>
                    <m:t>E[</m:t>
                  </m:r>
                  <m:sSub>
                    <m:sSubPr>
                      <m:ctrlPr>
                        <w:rPr>
                          <w:rFonts w:ascii="Cambria Math" w:hAnsi="Cambria Math"/>
                          <w:i/>
                        </w:rPr>
                      </m:ctrlPr>
                    </m:sSubPr>
                    <m:e>
                      <m:r>
                        <w:rPr>
                          <w:rFonts w:ascii="Cambria Math" w:hAnsi="Cambria Math"/>
                        </w:rPr>
                        <m:t>P</m:t>
                      </m:r>
                    </m:e>
                    <m:sub>
                      <m:r>
                        <w:rPr>
                          <w:rFonts w:ascii="Cambria Math" w:hAnsi="Cambria Math"/>
                        </w:rPr>
                        <m:t>t</m:t>
                      </m:r>
                    </m:sub>
                  </m:sSub>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num>
                <m:den>
                  <m:sSup>
                    <m:sSupPr>
                      <m:ctrlPr>
                        <w:rPr>
                          <w:rFonts w:ascii="Cambria Math" w:hAnsi="Cambria Math"/>
                          <w:i/>
                        </w:rPr>
                      </m:ctrlPr>
                    </m:sSupPr>
                    <m:e>
                      <m:r>
                        <w:rPr>
                          <w:rFonts w:ascii="Cambria Math" w:hAnsi="Cambria Math"/>
                        </w:rPr>
                        <m:t>(1+r)</m:t>
                      </m:r>
                    </m:e>
                    <m:sup>
                      <m:r>
                        <w:rPr>
                          <w:rFonts w:ascii="Cambria Math" w:hAnsi="Cambria Math"/>
                        </w:rPr>
                        <m:t>t</m:t>
                      </m:r>
                    </m:sup>
                  </m:sSup>
                </m:den>
              </m:f>
            </m:e>
          </m:nary>
          <m:r>
            <w:rPr>
              <w:rFonts w:ascii="Cambria Math" w:eastAsiaTheme="minorEastAsia" w:hAnsi="Cambria Math"/>
            </w:rPr>
            <m:t>&gt;0</m:t>
          </m:r>
        </m:oMath>
      </m:oMathPara>
    </w:p>
    <w:p w14:paraId="669A047E" w14:textId="77777777" w:rsidR="00DD7BDB" w:rsidRDefault="00DD7BDB" w:rsidP="00DD7BDB">
      <w:pPr>
        <w:pStyle w:val="ListParagraph"/>
      </w:pPr>
    </w:p>
    <w:p w14:paraId="21C58215" w14:textId="77777777" w:rsidR="00A121BB" w:rsidRDefault="00A121BB" w:rsidP="00DD7BDB">
      <w:pPr>
        <w:pStyle w:val="ListParagraph"/>
      </w:pPr>
    </w:p>
    <w:p w14:paraId="6DC3EF62" w14:textId="52445032" w:rsidR="00DD7BDB" w:rsidRDefault="00DD7BDB" w:rsidP="00DD7BDB">
      <w:pPr>
        <w:pStyle w:val="ListParagraph"/>
      </w:pPr>
      <w:r w:rsidRPr="00DD7BDB">
        <w:t>Both the capitalized cost (numerator) and the discounted revenue term (denominator) must be positive to ensure a valid LCOE value. These implicit constraints keep the model well-defined without binary build or completion variables.</w:t>
      </w:r>
    </w:p>
    <w:p w14:paraId="5FD28DA6" w14:textId="77777777" w:rsidR="009366C8" w:rsidRDefault="009366C8" w:rsidP="00A81AD3"/>
    <w:p w14:paraId="765BDB1D" w14:textId="77777777" w:rsidR="009366C8" w:rsidRDefault="009366C8" w:rsidP="00A81AD3"/>
    <w:p w14:paraId="656DA088" w14:textId="4FC5CCB4" w:rsidR="00C077F4" w:rsidRDefault="00C077F4" w:rsidP="00A81AD3">
      <w:r>
        <w:t>Sample Code</w:t>
      </w:r>
    </w:p>
    <w:p w14:paraId="4B2CA9BA" w14:textId="77777777" w:rsidR="0057177F" w:rsidRDefault="0057177F" w:rsidP="00A81AD3"/>
    <w:p w14:paraId="17DAAED9" w14:textId="77777777" w:rsidR="0057177F" w:rsidRDefault="0057177F" w:rsidP="00A81AD3"/>
    <w:p w14:paraId="41F18D4D" w14:textId="3231C49F" w:rsidR="0057177F" w:rsidRPr="00FA3FE9" w:rsidRDefault="0057177F" w:rsidP="0057177F">
      <w:pPr>
        <w:rPr>
          <w:rFonts w:cs="Times New Roman"/>
          <w:b/>
          <w:bCs/>
          <w:szCs w:val="24"/>
        </w:rPr>
      </w:pPr>
      <w:r w:rsidRPr="00FA3FE9">
        <w:rPr>
          <w:rFonts w:cs="Times New Roman"/>
          <w:b/>
          <w:bCs/>
          <w:szCs w:val="24"/>
        </w:rPr>
        <w:t xml:space="preserve">Question </w:t>
      </w:r>
      <w:r>
        <w:rPr>
          <w:rFonts w:cs="Times New Roman"/>
          <w:b/>
          <w:bCs/>
          <w:szCs w:val="24"/>
        </w:rPr>
        <w:t>2</w:t>
      </w:r>
    </w:p>
    <w:p w14:paraId="32856146" w14:textId="0500BD06" w:rsidR="0057177F" w:rsidRPr="007D0DE8" w:rsidRDefault="00DA2EEC" w:rsidP="00A81AD3">
      <w:pPr>
        <w:rPr>
          <w:rFonts w:cs="Times New Roman"/>
          <w:szCs w:val="24"/>
          <w:u w:val="single"/>
        </w:rPr>
      </w:pPr>
      <w:r w:rsidRPr="007D0DE8">
        <w:rPr>
          <w:rFonts w:cs="Times New Roman"/>
          <w:szCs w:val="24"/>
          <w:u w:val="single"/>
        </w:rPr>
        <w:t>D</w:t>
      </w:r>
      <w:r w:rsidRPr="007D0DE8">
        <w:rPr>
          <w:rFonts w:cs="Times New Roman"/>
          <w:szCs w:val="24"/>
          <w:u w:val="single"/>
        </w:rPr>
        <w:t xml:space="preserve">ata </w:t>
      </w:r>
      <w:r w:rsidRPr="007D0DE8">
        <w:rPr>
          <w:rFonts w:cs="Times New Roman"/>
          <w:szCs w:val="24"/>
          <w:u w:val="single"/>
        </w:rPr>
        <w:t>S</w:t>
      </w:r>
      <w:r w:rsidRPr="007D0DE8">
        <w:rPr>
          <w:rFonts w:cs="Times New Roman"/>
          <w:szCs w:val="24"/>
          <w:u w:val="single"/>
        </w:rPr>
        <w:t>ources</w:t>
      </w:r>
    </w:p>
    <w:p w14:paraId="17657F81" w14:textId="77777777" w:rsidR="00133F9E" w:rsidRPr="00B62AA9" w:rsidRDefault="002A417E" w:rsidP="002A417E">
      <w:pPr>
        <w:pStyle w:val="ListParagraph"/>
        <w:numPr>
          <w:ilvl w:val="0"/>
          <w:numId w:val="5"/>
        </w:numPr>
        <w:rPr>
          <w:rFonts w:cs="Times New Roman"/>
          <w:i/>
          <w:iCs/>
          <w:szCs w:val="24"/>
        </w:rPr>
      </w:pPr>
      <w:r w:rsidRPr="00B62AA9">
        <w:rPr>
          <w:rFonts w:cs="Times New Roman"/>
          <w:i/>
          <w:iCs/>
          <w:szCs w:val="24"/>
        </w:rPr>
        <w:t>Portugal-Pereira et al. (2018), “Better Late Than Never, but Never Late is Better: Risk Assessment of Nuclear Power Construction Projects,” Energy Policy 120, 158–166</w:t>
      </w:r>
    </w:p>
    <w:p w14:paraId="4840592B" w14:textId="77777777" w:rsidR="00133F9E" w:rsidRDefault="00133F9E" w:rsidP="00133F9E">
      <w:pPr>
        <w:pStyle w:val="ListParagraph"/>
        <w:rPr>
          <w:rFonts w:cs="Times New Roman"/>
          <w:szCs w:val="24"/>
        </w:rPr>
      </w:pPr>
    </w:p>
    <w:p w14:paraId="7051FC9E" w14:textId="14CCCE40" w:rsidR="002A417E" w:rsidRDefault="002A417E" w:rsidP="00133F9E">
      <w:pPr>
        <w:pStyle w:val="ListParagraph"/>
        <w:rPr>
          <w:rFonts w:cs="Times New Roman"/>
          <w:szCs w:val="24"/>
        </w:rPr>
      </w:pPr>
      <w:r w:rsidRPr="00133F9E">
        <w:rPr>
          <w:rFonts w:cs="Times New Roman"/>
          <w:szCs w:val="24"/>
        </w:rPr>
        <w:t>This paper compiles global data on cost overruns and construction delays for 180 reactor projects. I will use the reported mean delay (approximately 7 years) and the estimated 20 percent cost escalation per additional year to calibrate the baseline delay and overrun distributions (</w:t>
      </w:r>
      <w:proofErr w:type="spellStart"/>
      <w:r w:rsidRPr="002A417E">
        <w:rPr>
          <w:rFonts w:cs="Times New Roman"/>
          <w:szCs w:val="24"/>
        </w:rPr>
        <w:t>Δt</w:t>
      </w:r>
      <w:r w:rsidRPr="007D0DE8">
        <w:rPr>
          <w:rFonts w:cs="Times New Roman"/>
          <w:szCs w:val="24"/>
          <w:vertAlign w:val="subscript"/>
        </w:rPr>
        <w:t>s</w:t>
      </w:r>
      <w:proofErr w:type="spellEnd"/>
      <w:r w:rsidRPr="002A417E">
        <w:rPr>
          <w:rFonts w:cs="Times New Roman"/>
          <w:szCs w:val="24"/>
        </w:rPr>
        <w:t>,</w:t>
      </w:r>
      <w:r w:rsidR="00133F9E">
        <w:rPr>
          <w:rFonts w:cs="Times New Roman"/>
          <w:szCs w:val="24"/>
        </w:rPr>
        <w:t xml:space="preserve"> </w:t>
      </w:r>
      <w:proofErr w:type="spellStart"/>
      <w:r w:rsidRPr="002A417E">
        <w:rPr>
          <w:rFonts w:cs="Times New Roman"/>
          <w:szCs w:val="24"/>
        </w:rPr>
        <w:t>ϕ</w:t>
      </w:r>
      <w:r w:rsidRPr="007D0DE8">
        <w:rPr>
          <w:rFonts w:cs="Times New Roman"/>
          <w:szCs w:val="24"/>
          <w:vertAlign w:val="subscript"/>
        </w:rPr>
        <w:t>s</w:t>
      </w:r>
      <w:proofErr w:type="spellEnd"/>
      <w:r w:rsidRPr="002A417E">
        <w:rPr>
          <w:rFonts w:cs="Times New Roman"/>
          <w:szCs w:val="24"/>
        </w:rPr>
        <w:t>) in the stochastic model. These data provide the foundation for modeling how permitting reform shortens delays and tightens uncertainty ranges.</w:t>
      </w:r>
    </w:p>
    <w:p w14:paraId="64010B6A" w14:textId="77777777" w:rsidR="00B62AA9" w:rsidRPr="002A417E" w:rsidRDefault="00B62AA9" w:rsidP="00133F9E">
      <w:pPr>
        <w:pStyle w:val="ListParagraph"/>
        <w:rPr>
          <w:rFonts w:cs="Times New Roman"/>
          <w:szCs w:val="24"/>
        </w:rPr>
      </w:pPr>
    </w:p>
    <w:p w14:paraId="14553269" w14:textId="77777777" w:rsidR="002A417E" w:rsidRPr="002A417E" w:rsidRDefault="002A417E" w:rsidP="002A417E">
      <w:pPr>
        <w:rPr>
          <w:rFonts w:cs="Times New Roman"/>
          <w:szCs w:val="24"/>
        </w:rPr>
      </w:pPr>
    </w:p>
    <w:p w14:paraId="1D6DD590" w14:textId="77777777" w:rsidR="00B62AA9" w:rsidRPr="00B62AA9" w:rsidRDefault="002A417E" w:rsidP="002A417E">
      <w:pPr>
        <w:pStyle w:val="ListParagraph"/>
        <w:numPr>
          <w:ilvl w:val="0"/>
          <w:numId w:val="5"/>
        </w:numPr>
        <w:rPr>
          <w:rFonts w:cs="Times New Roman"/>
          <w:i/>
          <w:iCs/>
          <w:szCs w:val="24"/>
        </w:rPr>
      </w:pPr>
      <w:proofErr w:type="spellStart"/>
      <w:r w:rsidRPr="00B62AA9">
        <w:rPr>
          <w:rFonts w:cs="Times New Roman"/>
          <w:i/>
          <w:iCs/>
          <w:szCs w:val="24"/>
        </w:rPr>
        <w:t>Guaita</w:t>
      </w:r>
      <w:proofErr w:type="spellEnd"/>
      <w:r w:rsidRPr="00B62AA9">
        <w:rPr>
          <w:rFonts w:cs="Times New Roman"/>
          <w:i/>
          <w:iCs/>
          <w:szCs w:val="24"/>
        </w:rPr>
        <w:t>, Spangler &amp; Hansen (2025), “Parametric and Nonparametric Models of U.S. Cost Overruns for Nuclear Power Plants,” Idaho National Laboratory</w:t>
      </w:r>
    </w:p>
    <w:p w14:paraId="2ABFD262" w14:textId="77777777" w:rsidR="00B62AA9" w:rsidRDefault="00B62AA9" w:rsidP="00B62AA9">
      <w:pPr>
        <w:pStyle w:val="ListParagraph"/>
        <w:rPr>
          <w:rFonts w:cs="Times New Roman"/>
          <w:szCs w:val="24"/>
        </w:rPr>
      </w:pPr>
    </w:p>
    <w:p w14:paraId="346E0209" w14:textId="19A6B022" w:rsidR="002A417E" w:rsidRDefault="002A417E" w:rsidP="00B62AA9">
      <w:pPr>
        <w:pStyle w:val="ListParagraph"/>
        <w:rPr>
          <w:rFonts w:cs="Times New Roman"/>
          <w:szCs w:val="24"/>
        </w:rPr>
      </w:pPr>
      <w:r w:rsidRPr="00B62AA9">
        <w:rPr>
          <w:rFonts w:cs="Times New Roman"/>
          <w:szCs w:val="24"/>
        </w:rPr>
        <w:t>This forthcoming INL study provides updated U.S. parameters for cost growth, financing burden, and schedule risk after 2000. I will use its reported probability density functions for cost overruns to validate the Monte Carlo sampling and to benchmark U.S. project performance against international experience. The data help distinguish “status-quo” versus “reform” variance in project outcomes.</w:t>
      </w:r>
    </w:p>
    <w:p w14:paraId="3B0C2CD8" w14:textId="77777777" w:rsidR="00B62AA9" w:rsidRPr="00B62AA9" w:rsidRDefault="00B62AA9" w:rsidP="00B62AA9">
      <w:pPr>
        <w:pStyle w:val="ListParagraph"/>
        <w:rPr>
          <w:rFonts w:cs="Times New Roman"/>
          <w:szCs w:val="24"/>
        </w:rPr>
      </w:pPr>
    </w:p>
    <w:p w14:paraId="7B50D833" w14:textId="77777777" w:rsidR="002A417E" w:rsidRPr="002A417E" w:rsidRDefault="002A417E" w:rsidP="002A417E">
      <w:pPr>
        <w:rPr>
          <w:rFonts w:cs="Times New Roman"/>
          <w:szCs w:val="24"/>
        </w:rPr>
      </w:pPr>
    </w:p>
    <w:p w14:paraId="30D7CBDB" w14:textId="77777777" w:rsidR="00B62AA9" w:rsidRPr="00B62AA9" w:rsidRDefault="002A417E" w:rsidP="002A417E">
      <w:pPr>
        <w:pStyle w:val="ListParagraph"/>
        <w:numPr>
          <w:ilvl w:val="0"/>
          <w:numId w:val="5"/>
        </w:numPr>
        <w:rPr>
          <w:rFonts w:cs="Times New Roman"/>
          <w:i/>
          <w:iCs/>
          <w:szCs w:val="24"/>
        </w:rPr>
      </w:pPr>
      <w:r w:rsidRPr="00B62AA9">
        <w:rPr>
          <w:rFonts w:cs="Times New Roman"/>
          <w:i/>
          <w:iCs/>
          <w:szCs w:val="24"/>
        </w:rPr>
        <w:t xml:space="preserve">Jacobs, </w:t>
      </w:r>
      <w:proofErr w:type="spellStart"/>
      <w:r w:rsidRPr="00B62AA9">
        <w:rPr>
          <w:rFonts w:cs="Times New Roman"/>
          <w:i/>
          <w:iCs/>
          <w:szCs w:val="24"/>
        </w:rPr>
        <w:t>Jantarasami</w:t>
      </w:r>
      <w:proofErr w:type="spellEnd"/>
      <w:r w:rsidRPr="00B62AA9">
        <w:rPr>
          <w:rFonts w:cs="Times New Roman"/>
          <w:i/>
          <w:iCs/>
          <w:szCs w:val="24"/>
        </w:rPr>
        <w:t xml:space="preserve"> &amp; Fishman (2024), Licensing and Permitting Reforms to Accelerate Nuclear Energy Deployment, Bipartisan Policy Center</w:t>
      </w:r>
    </w:p>
    <w:p w14:paraId="5CD3913B" w14:textId="77777777" w:rsidR="00B62AA9" w:rsidRDefault="00B62AA9" w:rsidP="00B62AA9">
      <w:pPr>
        <w:pStyle w:val="ListParagraph"/>
        <w:rPr>
          <w:rFonts w:cs="Times New Roman"/>
          <w:szCs w:val="24"/>
        </w:rPr>
      </w:pPr>
    </w:p>
    <w:p w14:paraId="7CB01C58" w14:textId="61B44BFA" w:rsidR="002A417E" w:rsidRPr="00B62AA9" w:rsidRDefault="002A417E" w:rsidP="00B62AA9">
      <w:pPr>
        <w:pStyle w:val="ListParagraph"/>
        <w:rPr>
          <w:rFonts w:cs="Times New Roman"/>
          <w:szCs w:val="24"/>
        </w:rPr>
      </w:pPr>
      <w:r w:rsidRPr="00B62AA9">
        <w:rPr>
          <w:rFonts w:cs="Times New Roman"/>
          <w:szCs w:val="24"/>
        </w:rPr>
        <w:t xml:space="preserve">This policy report provides estimated reductions in permitting duration (25 to 40 percent) and administrative costs (10 to 15 percent) under proposed NRC process reforms. I will </w:t>
      </w:r>
      <w:r w:rsidRPr="00B62AA9">
        <w:rPr>
          <w:rFonts w:cs="Times New Roman"/>
          <w:szCs w:val="24"/>
        </w:rPr>
        <w:lastRenderedPageBreak/>
        <w:t>apply these values to define the “moderate” and “comprehensive reform” scenarios that shift the delay and soft-cost parameters in the model.</w:t>
      </w:r>
    </w:p>
    <w:p w14:paraId="22223E57" w14:textId="77777777" w:rsidR="002A417E" w:rsidRDefault="002A417E" w:rsidP="00A81AD3">
      <w:pPr>
        <w:rPr>
          <w:rFonts w:cs="Times New Roman"/>
          <w:szCs w:val="24"/>
        </w:rPr>
      </w:pPr>
    </w:p>
    <w:p w14:paraId="13D8216C" w14:textId="77777777" w:rsidR="00DA2EEC" w:rsidRDefault="00DA2EEC" w:rsidP="00A81AD3">
      <w:pPr>
        <w:rPr>
          <w:rFonts w:cs="Times New Roman"/>
          <w:szCs w:val="24"/>
        </w:rPr>
      </w:pPr>
    </w:p>
    <w:p w14:paraId="31B0F4A5" w14:textId="08538F17" w:rsidR="00DA2EEC" w:rsidRDefault="00DA2EEC" w:rsidP="00A81AD3">
      <w:pPr>
        <w:rPr>
          <w:rFonts w:cs="Times New Roman"/>
          <w:szCs w:val="24"/>
        </w:rPr>
      </w:pPr>
      <w:r>
        <w:rPr>
          <w:rFonts w:cs="Times New Roman"/>
          <w:szCs w:val="24"/>
        </w:rPr>
        <w:t>Assumptions</w:t>
      </w:r>
    </w:p>
    <w:p w14:paraId="42939F95" w14:textId="77777777" w:rsidR="00DA2EEC" w:rsidRPr="005877F7" w:rsidRDefault="00DA2EEC" w:rsidP="00A81AD3"/>
    <w:sectPr w:rsidR="00DA2EEC" w:rsidRPr="005877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D2FB8"/>
    <w:multiLevelType w:val="hybridMultilevel"/>
    <w:tmpl w:val="0544487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9E22A5E"/>
    <w:multiLevelType w:val="hybridMultilevel"/>
    <w:tmpl w:val="AFFCE01E"/>
    <w:lvl w:ilvl="0" w:tplc="E6D29B62">
      <w:start w:val="2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237943"/>
    <w:multiLevelType w:val="hybridMultilevel"/>
    <w:tmpl w:val="EAD2375E"/>
    <w:lvl w:ilvl="0" w:tplc="162C10C6">
      <w:start w:val="536"/>
      <w:numFmt w:val="bullet"/>
      <w:lvlText w:val="-"/>
      <w:lvlJc w:val="left"/>
      <w:pPr>
        <w:ind w:left="720" w:hanging="360"/>
      </w:pPr>
      <w:rPr>
        <w:rFonts w:ascii="Cambria Math" w:eastAsiaTheme="minorHAnsi" w:hAnsi="Cambria Math" w:cs="Cambria Math"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4A3BE9"/>
    <w:multiLevelType w:val="hybridMultilevel"/>
    <w:tmpl w:val="05444870"/>
    <w:lvl w:ilvl="0" w:tplc="0EAC3FE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1B7AE2"/>
    <w:multiLevelType w:val="hybridMultilevel"/>
    <w:tmpl w:val="E8CC97A8"/>
    <w:lvl w:ilvl="0" w:tplc="0CB25DB8">
      <w:start w:val="53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6A4434"/>
    <w:multiLevelType w:val="hybridMultilevel"/>
    <w:tmpl w:val="42F4D606"/>
    <w:lvl w:ilvl="0" w:tplc="03A63016">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5390357">
    <w:abstractNumId w:val="3"/>
  </w:num>
  <w:num w:numId="2" w16cid:durableId="1408259952">
    <w:abstractNumId w:val="0"/>
  </w:num>
  <w:num w:numId="3" w16cid:durableId="1673952537">
    <w:abstractNumId w:val="5"/>
  </w:num>
  <w:num w:numId="4" w16cid:durableId="1889102237">
    <w:abstractNumId w:val="1"/>
  </w:num>
  <w:num w:numId="5" w16cid:durableId="1976640537">
    <w:abstractNumId w:val="2"/>
  </w:num>
  <w:num w:numId="6" w16cid:durableId="6270503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7F7"/>
    <w:rsid w:val="00001CD2"/>
    <w:rsid w:val="00025CB8"/>
    <w:rsid w:val="00026B1B"/>
    <w:rsid w:val="00027B88"/>
    <w:rsid w:val="00065C02"/>
    <w:rsid w:val="00067B48"/>
    <w:rsid w:val="000714CF"/>
    <w:rsid w:val="00082120"/>
    <w:rsid w:val="000972D0"/>
    <w:rsid w:val="000C5F75"/>
    <w:rsid w:val="001059BA"/>
    <w:rsid w:val="00111F89"/>
    <w:rsid w:val="00122ACB"/>
    <w:rsid w:val="00133F9E"/>
    <w:rsid w:val="00137B47"/>
    <w:rsid w:val="00164674"/>
    <w:rsid w:val="001663D4"/>
    <w:rsid w:val="00170F7E"/>
    <w:rsid w:val="00185D02"/>
    <w:rsid w:val="001917E4"/>
    <w:rsid w:val="001A1A3F"/>
    <w:rsid w:val="001C0257"/>
    <w:rsid w:val="001D3D32"/>
    <w:rsid w:val="001E21E2"/>
    <w:rsid w:val="001E2985"/>
    <w:rsid w:val="00202190"/>
    <w:rsid w:val="002079B2"/>
    <w:rsid w:val="00223484"/>
    <w:rsid w:val="00232065"/>
    <w:rsid w:val="00244786"/>
    <w:rsid w:val="00245E95"/>
    <w:rsid w:val="002501AF"/>
    <w:rsid w:val="002570CA"/>
    <w:rsid w:val="0026701D"/>
    <w:rsid w:val="00281D33"/>
    <w:rsid w:val="00283C6E"/>
    <w:rsid w:val="00283E4F"/>
    <w:rsid w:val="00291A20"/>
    <w:rsid w:val="002A1BA6"/>
    <w:rsid w:val="002A417E"/>
    <w:rsid w:val="002B5CD9"/>
    <w:rsid w:val="002B64DB"/>
    <w:rsid w:val="002C5607"/>
    <w:rsid w:val="002D708E"/>
    <w:rsid w:val="002E379B"/>
    <w:rsid w:val="002F0694"/>
    <w:rsid w:val="002F1623"/>
    <w:rsid w:val="002F7CF0"/>
    <w:rsid w:val="00300D1E"/>
    <w:rsid w:val="003232B1"/>
    <w:rsid w:val="0033475D"/>
    <w:rsid w:val="0035084E"/>
    <w:rsid w:val="00353F4E"/>
    <w:rsid w:val="003B7779"/>
    <w:rsid w:val="003D10A5"/>
    <w:rsid w:val="003E1A38"/>
    <w:rsid w:val="003E28DA"/>
    <w:rsid w:val="003E68F0"/>
    <w:rsid w:val="003E7CED"/>
    <w:rsid w:val="003F5F46"/>
    <w:rsid w:val="003F6316"/>
    <w:rsid w:val="003F7C37"/>
    <w:rsid w:val="004223F7"/>
    <w:rsid w:val="0042531C"/>
    <w:rsid w:val="00466F5A"/>
    <w:rsid w:val="004B6026"/>
    <w:rsid w:val="004C4A02"/>
    <w:rsid w:val="004D2C2F"/>
    <w:rsid w:val="004D320F"/>
    <w:rsid w:val="004E2226"/>
    <w:rsid w:val="004E50F0"/>
    <w:rsid w:val="004F0674"/>
    <w:rsid w:val="00563FD9"/>
    <w:rsid w:val="00564CA8"/>
    <w:rsid w:val="005702C4"/>
    <w:rsid w:val="0057177F"/>
    <w:rsid w:val="00572868"/>
    <w:rsid w:val="0057720E"/>
    <w:rsid w:val="005877F7"/>
    <w:rsid w:val="005A06F9"/>
    <w:rsid w:val="005B2500"/>
    <w:rsid w:val="005B394B"/>
    <w:rsid w:val="005C3991"/>
    <w:rsid w:val="005E452D"/>
    <w:rsid w:val="005F58BE"/>
    <w:rsid w:val="00601CAE"/>
    <w:rsid w:val="0061447E"/>
    <w:rsid w:val="00643D28"/>
    <w:rsid w:val="00665F07"/>
    <w:rsid w:val="00673398"/>
    <w:rsid w:val="006835EE"/>
    <w:rsid w:val="006A4A38"/>
    <w:rsid w:val="006C213E"/>
    <w:rsid w:val="006E1B47"/>
    <w:rsid w:val="006E333C"/>
    <w:rsid w:val="006E50DA"/>
    <w:rsid w:val="006F2CD1"/>
    <w:rsid w:val="006F2E46"/>
    <w:rsid w:val="00713309"/>
    <w:rsid w:val="0071425D"/>
    <w:rsid w:val="007217A3"/>
    <w:rsid w:val="007222C3"/>
    <w:rsid w:val="00727A70"/>
    <w:rsid w:val="007379BA"/>
    <w:rsid w:val="00743209"/>
    <w:rsid w:val="00756E1B"/>
    <w:rsid w:val="00766B98"/>
    <w:rsid w:val="007671E0"/>
    <w:rsid w:val="00776121"/>
    <w:rsid w:val="007A347A"/>
    <w:rsid w:val="007D0DE8"/>
    <w:rsid w:val="007D1733"/>
    <w:rsid w:val="007E6E45"/>
    <w:rsid w:val="00801BE0"/>
    <w:rsid w:val="00801DA5"/>
    <w:rsid w:val="00811912"/>
    <w:rsid w:val="00830883"/>
    <w:rsid w:val="00837C44"/>
    <w:rsid w:val="008865F7"/>
    <w:rsid w:val="00891471"/>
    <w:rsid w:val="008A5DD7"/>
    <w:rsid w:val="008B3DEA"/>
    <w:rsid w:val="008D31A1"/>
    <w:rsid w:val="008D4E31"/>
    <w:rsid w:val="008E3415"/>
    <w:rsid w:val="008E60B2"/>
    <w:rsid w:val="008E6C48"/>
    <w:rsid w:val="008F4021"/>
    <w:rsid w:val="008F77A1"/>
    <w:rsid w:val="00913BA2"/>
    <w:rsid w:val="009366C8"/>
    <w:rsid w:val="0094230B"/>
    <w:rsid w:val="009427C1"/>
    <w:rsid w:val="00943809"/>
    <w:rsid w:val="009502BB"/>
    <w:rsid w:val="009561CC"/>
    <w:rsid w:val="00966B52"/>
    <w:rsid w:val="00977A7B"/>
    <w:rsid w:val="009906A1"/>
    <w:rsid w:val="00995461"/>
    <w:rsid w:val="009A4942"/>
    <w:rsid w:val="009F3DD8"/>
    <w:rsid w:val="00A013E1"/>
    <w:rsid w:val="00A121BB"/>
    <w:rsid w:val="00A25A18"/>
    <w:rsid w:val="00A37812"/>
    <w:rsid w:val="00A5063A"/>
    <w:rsid w:val="00A72018"/>
    <w:rsid w:val="00A80526"/>
    <w:rsid w:val="00A81AD3"/>
    <w:rsid w:val="00A82959"/>
    <w:rsid w:val="00A87729"/>
    <w:rsid w:val="00A94657"/>
    <w:rsid w:val="00AA7FB4"/>
    <w:rsid w:val="00AB17EE"/>
    <w:rsid w:val="00AC7C0A"/>
    <w:rsid w:val="00B30985"/>
    <w:rsid w:val="00B459FF"/>
    <w:rsid w:val="00B467C8"/>
    <w:rsid w:val="00B56492"/>
    <w:rsid w:val="00B62AA9"/>
    <w:rsid w:val="00B805D1"/>
    <w:rsid w:val="00B80F5D"/>
    <w:rsid w:val="00B8160B"/>
    <w:rsid w:val="00B84B2D"/>
    <w:rsid w:val="00BE1C9E"/>
    <w:rsid w:val="00BE610F"/>
    <w:rsid w:val="00C077F4"/>
    <w:rsid w:val="00C14AF8"/>
    <w:rsid w:val="00C24F31"/>
    <w:rsid w:val="00C31312"/>
    <w:rsid w:val="00C576F2"/>
    <w:rsid w:val="00C57DC6"/>
    <w:rsid w:val="00C70521"/>
    <w:rsid w:val="00C93B30"/>
    <w:rsid w:val="00C95D55"/>
    <w:rsid w:val="00CA11FB"/>
    <w:rsid w:val="00CB7FE9"/>
    <w:rsid w:val="00CC361B"/>
    <w:rsid w:val="00CD35CA"/>
    <w:rsid w:val="00CF0716"/>
    <w:rsid w:val="00CF2C3F"/>
    <w:rsid w:val="00D02F5E"/>
    <w:rsid w:val="00D04908"/>
    <w:rsid w:val="00D269B8"/>
    <w:rsid w:val="00D3178B"/>
    <w:rsid w:val="00D360DF"/>
    <w:rsid w:val="00D4154D"/>
    <w:rsid w:val="00D51ABB"/>
    <w:rsid w:val="00D53A6C"/>
    <w:rsid w:val="00D67C7E"/>
    <w:rsid w:val="00D93D4B"/>
    <w:rsid w:val="00D9674D"/>
    <w:rsid w:val="00DA0FF7"/>
    <w:rsid w:val="00DA2EEC"/>
    <w:rsid w:val="00DC6BDE"/>
    <w:rsid w:val="00DD1626"/>
    <w:rsid w:val="00DD2A5D"/>
    <w:rsid w:val="00DD2FEE"/>
    <w:rsid w:val="00DD7BDB"/>
    <w:rsid w:val="00E07E17"/>
    <w:rsid w:val="00E12F88"/>
    <w:rsid w:val="00E13ADF"/>
    <w:rsid w:val="00E20E93"/>
    <w:rsid w:val="00E65EDF"/>
    <w:rsid w:val="00E75056"/>
    <w:rsid w:val="00E75552"/>
    <w:rsid w:val="00E90918"/>
    <w:rsid w:val="00EA2959"/>
    <w:rsid w:val="00EB4A01"/>
    <w:rsid w:val="00EB6DAE"/>
    <w:rsid w:val="00ED4462"/>
    <w:rsid w:val="00EE0C53"/>
    <w:rsid w:val="00EF7A96"/>
    <w:rsid w:val="00F045F8"/>
    <w:rsid w:val="00F072FF"/>
    <w:rsid w:val="00F155AF"/>
    <w:rsid w:val="00F26C60"/>
    <w:rsid w:val="00F322A0"/>
    <w:rsid w:val="00F33FA2"/>
    <w:rsid w:val="00F5743E"/>
    <w:rsid w:val="00F57A8A"/>
    <w:rsid w:val="00F61D1F"/>
    <w:rsid w:val="00F651AB"/>
    <w:rsid w:val="00F81E81"/>
    <w:rsid w:val="00F9135A"/>
    <w:rsid w:val="00F91959"/>
    <w:rsid w:val="00F9451D"/>
    <w:rsid w:val="00FA3FE9"/>
    <w:rsid w:val="00FC522B"/>
    <w:rsid w:val="00FD2C0D"/>
    <w:rsid w:val="00FE2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9E3E4"/>
  <w15:chartTrackingRefBased/>
  <w15:docId w15:val="{AED43B06-5AB4-486F-82FC-5B7A7BF99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7F7"/>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7217A3"/>
    <w:pPr>
      <w:keepNext/>
      <w:keepLines/>
      <w:spacing w:before="120" w:after="80"/>
      <w:outlineLvl w:val="0"/>
    </w:pPr>
    <w:rPr>
      <w:rFonts w:eastAsiaTheme="majorEastAsia" w:cstheme="majorBidi"/>
      <w:b/>
      <w:color w:val="156082" w:themeColor="accent1"/>
      <w:sz w:val="36"/>
      <w:szCs w:val="40"/>
    </w:rPr>
  </w:style>
  <w:style w:type="paragraph" w:styleId="Heading2">
    <w:name w:val="heading 2"/>
    <w:basedOn w:val="Normal"/>
    <w:next w:val="Normal"/>
    <w:link w:val="Heading2Char"/>
    <w:uiPriority w:val="9"/>
    <w:unhideWhenUsed/>
    <w:qFormat/>
    <w:rsid w:val="007217A3"/>
    <w:pPr>
      <w:keepNext/>
      <w:keepLines/>
      <w:spacing w:before="120" w:after="80"/>
      <w:outlineLvl w:val="1"/>
    </w:pPr>
    <w:rPr>
      <w:rFonts w:eastAsiaTheme="majorEastAsia" w:cstheme="majorBidi"/>
      <w:b/>
      <w:sz w:val="32"/>
      <w:szCs w:val="32"/>
    </w:rPr>
  </w:style>
  <w:style w:type="paragraph" w:styleId="Heading3">
    <w:name w:val="heading 3"/>
    <w:basedOn w:val="Normal"/>
    <w:next w:val="Normal"/>
    <w:link w:val="Heading3Char"/>
    <w:uiPriority w:val="9"/>
    <w:unhideWhenUsed/>
    <w:qFormat/>
    <w:rsid w:val="007217A3"/>
    <w:pPr>
      <w:keepNext/>
      <w:keepLines/>
      <w:spacing w:before="120" w:after="80"/>
      <w:outlineLvl w:val="2"/>
    </w:pPr>
    <w:rPr>
      <w:rFonts w:eastAsiaTheme="majorEastAsia" w:cstheme="majorBidi"/>
      <w:sz w:val="28"/>
      <w:szCs w:val="28"/>
      <w:u w:val="single"/>
    </w:rPr>
  </w:style>
  <w:style w:type="paragraph" w:styleId="Heading4">
    <w:name w:val="heading 4"/>
    <w:basedOn w:val="Normal"/>
    <w:next w:val="Normal"/>
    <w:link w:val="Heading4Char"/>
    <w:uiPriority w:val="9"/>
    <w:semiHidden/>
    <w:unhideWhenUsed/>
    <w:qFormat/>
    <w:rsid w:val="005877F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877F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877F7"/>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877F7"/>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877F7"/>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877F7"/>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7A3"/>
    <w:rPr>
      <w:rFonts w:ascii="Times New Roman" w:eastAsiaTheme="majorEastAsia" w:hAnsi="Times New Roman" w:cstheme="majorBidi"/>
      <w:b/>
      <w:color w:val="156082" w:themeColor="accent1"/>
      <w:sz w:val="36"/>
      <w:szCs w:val="40"/>
    </w:rPr>
  </w:style>
  <w:style w:type="paragraph" w:styleId="Title">
    <w:name w:val="Title"/>
    <w:basedOn w:val="Normal"/>
    <w:next w:val="Normal"/>
    <w:link w:val="TitleChar"/>
    <w:uiPriority w:val="10"/>
    <w:qFormat/>
    <w:rsid w:val="007217A3"/>
    <w:pPr>
      <w:spacing w:after="120"/>
      <w:contextualSpacing/>
    </w:pPr>
    <w:rPr>
      <w:rFonts w:eastAsiaTheme="majorEastAsia" w:cstheme="majorBidi"/>
      <w:b/>
      <w:spacing w:val="-10"/>
      <w:kern w:val="28"/>
      <w:sz w:val="64"/>
      <w:szCs w:val="56"/>
    </w:rPr>
  </w:style>
  <w:style w:type="character" w:customStyle="1" w:styleId="TitleChar">
    <w:name w:val="Title Char"/>
    <w:basedOn w:val="DefaultParagraphFont"/>
    <w:link w:val="Title"/>
    <w:uiPriority w:val="10"/>
    <w:rsid w:val="007217A3"/>
    <w:rPr>
      <w:rFonts w:ascii="Times New Roman" w:eastAsiaTheme="majorEastAsia" w:hAnsi="Times New Roman" w:cstheme="majorBidi"/>
      <w:b/>
      <w:spacing w:val="-10"/>
      <w:kern w:val="28"/>
      <w:sz w:val="64"/>
      <w:szCs w:val="56"/>
    </w:rPr>
  </w:style>
  <w:style w:type="paragraph" w:styleId="Subtitle">
    <w:name w:val="Subtitle"/>
    <w:basedOn w:val="Normal"/>
    <w:next w:val="Normal"/>
    <w:link w:val="SubtitleChar"/>
    <w:uiPriority w:val="11"/>
    <w:qFormat/>
    <w:rsid w:val="007217A3"/>
    <w:pPr>
      <w:numPr>
        <w:ilvl w:val="1"/>
      </w:numPr>
      <w:spacing w:after="80"/>
    </w:pPr>
    <w:rPr>
      <w:rFonts w:eastAsiaTheme="majorEastAsia" w:cstheme="majorBidi"/>
      <w:b/>
      <w:spacing w:val="15"/>
      <w:szCs w:val="28"/>
    </w:rPr>
  </w:style>
  <w:style w:type="character" w:customStyle="1" w:styleId="SubtitleChar">
    <w:name w:val="Subtitle Char"/>
    <w:basedOn w:val="DefaultParagraphFont"/>
    <w:link w:val="Subtitle"/>
    <w:uiPriority w:val="11"/>
    <w:rsid w:val="007217A3"/>
    <w:rPr>
      <w:rFonts w:ascii="Times New Roman" w:eastAsiaTheme="majorEastAsia" w:hAnsi="Times New Roman" w:cstheme="majorBidi"/>
      <w:b/>
      <w:spacing w:val="15"/>
      <w:sz w:val="24"/>
      <w:szCs w:val="28"/>
    </w:rPr>
  </w:style>
  <w:style w:type="character" w:customStyle="1" w:styleId="Heading2Char">
    <w:name w:val="Heading 2 Char"/>
    <w:basedOn w:val="DefaultParagraphFont"/>
    <w:link w:val="Heading2"/>
    <w:uiPriority w:val="9"/>
    <w:rsid w:val="007217A3"/>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7217A3"/>
    <w:pPr>
      <w:spacing w:before="240" w:after="0" w:line="259" w:lineRule="auto"/>
      <w:outlineLvl w:val="9"/>
    </w:pPr>
    <w:rPr>
      <w:rFonts w:asciiTheme="majorHAnsi" w:hAnsiTheme="majorHAnsi"/>
      <w:color w:val="0F4761" w:themeColor="accent1" w:themeShade="BF"/>
      <w:kern w:val="0"/>
      <w:sz w:val="32"/>
      <w:szCs w:val="32"/>
      <w14:ligatures w14:val="none"/>
    </w:rPr>
  </w:style>
  <w:style w:type="character" w:customStyle="1" w:styleId="Heading3Char">
    <w:name w:val="Heading 3 Char"/>
    <w:basedOn w:val="DefaultParagraphFont"/>
    <w:link w:val="Heading3"/>
    <w:uiPriority w:val="9"/>
    <w:rsid w:val="007217A3"/>
    <w:rPr>
      <w:rFonts w:ascii="Times New Roman" w:eastAsiaTheme="majorEastAsia" w:hAnsi="Times New Roman" w:cstheme="majorBidi"/>
      <w:sz w:val="28"/>
      <w:szCs w:val="28"/>
      <w:u w:val="single"/>
    </w:rPr>
  </w:style>
  <w:style w:type="character" w:customStyle="1" w:styleId="Heading4Char">
    <w:name w:val="Heading 4 Char"/>
    <w:basedOn w:val="DefaultParagraphFont"/>
    <w:link w:val="Heading4"/>
    <w:uiPriority w:val="9"/>
    <w:semiHidden/>
    <w:rsid w:val="005877F7"/>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5877F7"/>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5877F7"/>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5877F7"/>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5877F7"/>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5877F7"/>
    <w:rPr>
      <w:rFonts w:eastAsiaTheme="majorEastAsia" w:cstheme="majorBidi"/>
      <w:color w:val="272727" w:themeColor="text1" w:themeTint="D8"/>
      <w:sz w:val="24"/>
    </w:rPr>
  </w:style>
  <w:style w:type="paragraph" w:styleId="Quote">
    <w:name w:val="Quote"/>
    <w:basedOn w:val="Normal"/>
    <w:next w:val="Normal"/>
    <w:link w:val="QuoteChar"/>
    <w:uiPriority w:val="29"/>
    <w:qFormat/>
    <w:rsid w:val="005877F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877F7"/>
    <w:rPr>
      <w:rFonts w:ascii="Times New Roman" w:hAnsi="Times New Roman"/>
      <w:i/>
      <w:iCs/>
      <w:color w:val="404040" w:themeColor="text1" w:themeTint="BF"/>
      <w:sz w:val="24"/>
    </w:rPr>
  </w:style>
  <w:style w:type="paragraph" w:styleId="ListParagraph">
    <w:name w:val="List Paragraph"/>
    <w:basedOn w:val="Normal"/>
    <w:uiPriority w:val="34"/>
    <w:qFormat/>
    <w:rsid w:val="005877F7"/>
    <w:pPr>
      <w:ind w:left="720"/>
      <w:contextualSpacing/>
    </w:pPr>
  </w:style>
  <w:style w:type="character" w:styleId="IntenseEmphasis">
    <w:name w:val="Intense Emphasis"/>
    <w:basedOn w:val="DefaultParagraphFont"/>
    <w:uiPriority w:val="21"/>
    <w:qFormat/>
    <w:rsid w:val="005877F7"/>
    <w:rPr>
      <w:i/>
      <w:iCs/>
      <w:color w:val="0F4761" w:themeColor="accent1" w:themeShade="BF"/>
    </w:rPr>
  </w:style>
  <w:style w:type="paragraph" w:styleId="IntenseQuote">
    <w:name w:val="Intense Quote"/>
    <w:basedOn w:val="Normal"/>
    <w:next w:val="Normal"/>
    <w:link w:val="IntenseQuoteChar"/>
    <w:uiPriority w:val="30"/>
    <w:qFormat/>
    <w:rsid w:val="005877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77F7"/>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5877F7"/>
    <w:rPr>
      <w:b/>
      <w:bCs/>
      <w:smallCaps/>
      <w:color w:val="0F4761" w:themeColor="accent1" w:themeShade="BF"/>
      <w:spacing w:val="5"/>
    </w:rPr>
  </w:style>
  <w:style w:type="character" w:styleId="PlaceholderText">
    <w:name w:val="Placeholder Text"/>
    <w:basedOn w:val="DefaultParagraphFont"/>
    <w:uiPriority w:val="99"/>
    <w:semiHidden/>
    <w:rsid w:val="003232B1"/>
    <w:rPr>
      <w:color w:val="666666"/>
    </w:rPr>
  </w:style>
  <w:style w:type="paragraph" w:styleId="Caption">
    <w:name w:val="caption"/>
    <w:basedOn w:val="Normal"/>
    <w:next w:val="Normal"/>
    <w:uiPriority w:val="35"/>
    <w:unhideWhenUsed/>
    <w:qFormat/>
    <w:rsid w:val="00A72018"/>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E10E9A-44CC-4126-90A6-F573F5E54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851</Words>
  <Characters>4855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Linnebur</dc:creator>
  <cp:keywords/>
  <dc:description/>
  <cp:lastModifiedBy>Tyler Linnebur</cp:lastModifiedBy>
  <cp:revision>2</cp:revision>
  <dcterms:created xsi:type="dcterms:W3CDTF">2025-10-22T16:51:00Z</dcterms:created>
  <dcterms:modified xsi:type="dcterms:W3CDTF">2025-10-22T16:51:00Z</dcterms:modified>
</cp:coreProperties>
</file>