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lamalabb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0"/>
        </w:rPr>
        <w:t>MĀLAMA LABS INCORPORATED</w:t>
      </w:r>
    </w:p>
    <w:p>
      <w:pPr>
        <w:jc w:val="center"/>
      </w:pPr>
      <w:r>
        <w:rPr>
          <w:sz w:val="28"/>
        </w:rPr>
        <w:t>BUSINESS PLAN v2.0 – October 2025</w:t>
      </w:r>
    </w:p>
    <w:p>
      <w:pPr>
        <w:jc w:val="center"/>
      </w:pPr>
      <w:r>
        <w:rPr>
          <w:sz w:val="24"/>
        </w:rPr>
        <w:t>Building the Digital Infrastructure for Compliance-Grade Carbon Markets</w:t>
      </w:r>
    </w:p>
    <w:p>
      <w:pPr>
        <w:jc w:val="center"/>
      </w:pPr>
      <w:r>
        <w:t>By Tyler Malin, Founder &amp; CEO</w:t>
      </w:r>
    </w:p>
    <w:p>
      <w:pPr>
        <w:jc w:val="center"/>
      </w:pPr>
      <w:r>
        <w:br/>
        <w:br/>
        <w:t>© 2025 Mālama Labs Incorporated | www.malamalabs.com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