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left"/>
      </w:pPr>
      <w:r>
        <w:rPr>
          <w:rFonts w:ascii="Arial" w:cs="Arial" w:eastAsia="Arial" w:hAnsi="Arial"/>
          <w:b/>
          <w:bCs/>
          <w:color w:val="1E2D3D"/>
          <w:sz w:val="56"/>
          <w:szCs w:val="56"/>
        </w:rPr>
        <w:t xml:space="preserve">MĀLAMA PROTOCOL</w:t>
      </w:r>
    </w:p>
    <w:p>
      <w:pPr>
        <w:pBdr>
          <w:bottom w:val="single" w:color="0D7377" w:sz="10"/>
        </w:pBdr>
        <w:spacing w:after="60" w:before="0"/>
        <w:jc w:val="left"/>
      </w:pPr>
      <w:r>
        <w:rPr>
          <w:rFonts w:ascii="Arial" w:cs="Arial" w:eastAsia="Arial" w:hAnsi="Arial"/>
          <w:color w:val="0D7377"/>
          <w:sz w:val="32"/>
          <w:szCs w:val="32"/>
        </w:rPr>
        <w:t xml:space="preserve">Technical Brief &amp; Investor Whitepaper</w:t>
      </w:r>
    </w:p>
    <w:p>
      <w:pPr>
        <w:spacing w:after="0" w:before="120"/>
      </w:pPr>
      <w:r>
        <w:t xml:space="preserve"/>
      </w:r>
    </w:p>
    <w:p>
      <w:pPr>
        <w:spacing w:after="80" w:before="0"/>
      </w:pPr>
      <w:r>
        <w:rPr>
          <w:rFonts w:ascii="Arial" w:cs="Arial" w:eastAsia="Arial" w:hAnsi="Arial"/>
          <w:i/>
          <w:iCs/>
          <w:color w:val="2C3E50"/>
          <w:sz w:val="26"/>
          <w:szCs w:val="26"/>
        </w:rPr>
        <w:t xml:space="preserve">Cryptographically-Verified Carbon Sequestration Infrastructure</w:t>
      </w:r>
    </w:p>
    <w:p>
      <w:pPr>
        <w:spacing w:after="80" w:before="0"/>
      </w:pPr>
      <w:r>
        <w:rPr>
          <w:rFonts w:ascii="Arial" w:cs="Arial" w:eastAsia="Arial" w:hAnsi="Arial"/>
          <w:color w:val="7F8C8D"/>
          <w:sz w:val="22"/>
          <w:szCs w:val="22"/>
        </w:rPr>
        <w:t xml:space="preserve">Sensor → AI Validation → Multi-Chain Settlement → Registry Issuance</w:t>
      </w:r>
    </w:p>
    <w:p>
      <w:pPr>
        <w:spacing w:after="0" w:before="240"/>
      </w:pPr>
      <w:r>
        <w:t xml:space="preserve"/>
      </w:r>
    </w:p>
    <w:p>
      <w:pPr>
        <w:spacing w:after="40" w:before="0"/>
      </w:pPr>
      <w:r>
        <w:rPr>
          <w:rFonts w:ascii="Arial" w:cs="Arial" w:eastAsia="Arial" w:hAnsi="Arial"/>
          <w:color w:val="7F8C8D"/>
          <w:sz w:val="20"/>
          <w:szCs w:val="20"/>
        </w:rPr>
        <w:t xml:space="preserve">Version 0.9  •  March 2026</w:t>
      </w:r>
    </w:p>
    <w:p>
      <w:pPr>
        <w:spacing w:after="40" w:before="0"/>
      </w:pPr>
      <w:r>
        <w:rPr>
          <w:rFonts w:ascii="Arial" w:cs="Arial" w:eastAsia="Arial" w:hAnsi="Arial"/>
          <w:b/>
          <w:bCs/>
          <w:color w:val="C0392B"/>
          <w:sz w:val="20"/>
          <w:szCs w:val="20"/>
        </w:rPr>
        <w:t xml:space="preserve">Confidential — Not for Distribution</w:t>
      </w:r>
    </w:p>
    <w:p>
      <w:pPr>
        <w:spacing w:after="0" w:before="0"/>
      </w:pPr>
      <w:r>
        <w:rPr>
          <w:rFonts w:ascii="Arial" w:cs="Arial" w:eastAsia="Arial" w:hAnsi="Arial"/>
          <w:color w:val="7F8C8D"/>
          <w:sz w:val="20"/>
          <w:szCs w:val="20"/>
        </w:rPr>
        <w:t xml:space="preserve">Tyler Malin  •  tyler@malamaproject.org</w:t>
      </w:r>
    </w:p>
    <w:p>
      <w:r>
        <w:br w:type="page"/>
      </w:r>
    </w:p>
    <w:p>
      <w:pPr>
        <w:pStyle w:val="Heading1"/>
        <w:spacing w:after="120" w:before="400"/>
      </w:pPr>
      <w:r>
        <w:rPr>
          <w:rFonts w:ascii="Arial" w:cs="Arial" w:eastAsia="Arial" w:hAnsi="Arial"/>
          <w:b/>
          <w:bCs/>
          <w:color w:val="1E2D3D"/>
          <w:sz w:val="34"/>
          <w:szCs w:val="34"/>
        </w:rPr>
        <w:t xml:space="preserve">Executive Summary</w:t>
      </w:r>
    </w:p>
    <w:p>
      <w:pPr>
        <w:pBdr>
          <w:bottom w:val="single" w:color="0D7377" w:sz="6"/>
        </w:pBdr>
        <w:spacing w:after="160" w:before="0"/>
      </w:pPr>
    </w:p>
    <w:p>
      <w:pPr>
        <w:spacing w:after="140" w:before="100"/>
      </w:pPr>
      <w:r>
        <w:rPr>
          <w:rFonts w:ascii="Arial" w:cs="Arial" w:eastAsia="Arial" w:hAnsi="Arial"/>
          <w:i/>
          <w:iCs/>
          <w:color w:val="2C3E50"/>
          <w:sz w:val="24"/>
          <w:szCs w:val="24"/>
        </w:rPr>
        <w:t xml:space="preserve">Carbon markets have an integrity problem. The fix is not a new standard — it’s a data architecture.</w:t>
      </w:r>
    </w:p>
    <w:p>
      <w:pPr>
        <w:spacing w:after="0" w:before="60"/>
      </w:pPr>
      <w:r>
        <w:t xml:space="preserve"/>
      </w:r>
    </w:p>
    <w:p>
      <w:pPr>
        <w:spacing w:after="100" w:before="80"/>
      </w:pPr>
      <w:r>
        <w:rPr>
          <w:rFonts w:ascii="Arial" w:cs="Arial" w:eastAsia="Arial" w:hAnsi="Arial"/>
          <w:color w:val="2C3E50"/>
          <w:sz w:val="22"/>
          <w:szCs w:val="22"/>
        </w:rPr>
        <w:t xml:space="preserve">The voluntary carbon market is projected to grow to $50B+ by 2030, but adoption is being suppressed by a single unresolved failure: buyers cannot trust that a credit represents a real, permanent, additional tonne of carbon removed. High-profile invalidations — REDD+ projects, South Pole, Verra reversals — have demonstrated that the core problem is not fraud but episodic, manual MRV that cannot be audited in near real-time.</w:t>
      </w:r>
    </w:p>
    <w:p>
      <w:pPr>
        <w:spacing w:after="0" w:before="60"/>
      </w:pPr>
      <w:r>
        <w:t xml:space="preserve"/>
      </w:r>
    </w:p>
    <w:p>
      <w:pPr>
        <w:spacing w:after="100" w:before="80"/>
      </w:pPr>
      <w:r>
        <w:rPr>
          <w:rFonts w:ascii="Arial" w:cs="Arial" w:eastAsia="Arial" w:hAnsi="Arial"/>
          <w:color w:val="2C3E50"/>
          <w:sz w:val="22"/>
          <w:szCs w:val="22"/>
        </w:rPr>
        <w:t xml:space="preserve">Mālama Protocol is a full-stack dMRV (digital Measurement, Reporting, and Verification) infrastructure layer that solves this at the data origin. Every sensor has a cryptographic identity (DID). Every reading is signed at source and validated by an AI confidence engine before any credit is considered for issuance. Merkle proofs anchor batch data to four blockchains hourly. The complete evidence trail — from field sensor to Verra-issued credit — is publicly auditable by any third party, without relying on Mālama’s continued operation.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8"/>
              <w:bottom w:val="single" w:color="0D7377" w:sz="1"/>
              <w:right w:val="none" w:color="FFFFFF" w:sz="0"/>
            </w:tcBorders>
            <w:shd w:fill="F0F6F7" w:val="clear"/>
            <w:tcMar>
              <w:top w:type="dxa" w:w="120"/>
              <w:left w:type="dxa" w:w="200"/>
              <w:bottom w:type="dxa" w:w="120"/>
              <w:right w:type="dxa" w:w="200"/>
            </w:tcMar>
          </w:tcPr>
          <w:p>
            <w:r>
              <w:rPr>
                <w:rFonts w:ascii="Arial" w:cs="Arial" w:eastAsia="Arial" w:hAnsi="Arial"/>
                <w:i/>
                <w:iCs/>
                <w:color w:val="2C3E50"/>
                <w:sz w:val="22"/>
                <w:szCs w:val="22"/>
              </w:rPr>
              <w:t xml:space="preserve">"Trust by cryptography, not authority." — A single data point travels from a physical sensor through 7 cryptographic stages to become a confidence-gated carbon token, every step verifiable on-chain.</w:t>
            </w:r>
          </w:p>
        </w:tc>
      </w:tr>
    </w:tbl>
    <w:p>
      <w:pPr>
        <w:spacing w:after="0" w:before="100"/>
      </w:pPr>
      <w:r>
        <w:t xml:space="preserve"/>
      </w:r>
    </w:p>
    <w:p>
      <w:pPr>
        <w:pStyle w:val="Heading2"/>
        <w:spacing w:after="100" w:before="320"/>
      </w:pPr>
      <w:r>
        <w:rPr>
          <w:rFonts w:ascii="Arial" w:cs="Arial" w:eastAsia="Arial" w:hAnsi="Arial"/>
          <w:b/>
          <w:bCs/>
          <w:color w:val="0D7377"/>
          <w:sz w:val="26"/>
          <w:szCs w:val="26"/>
        </w:rPr>
        <w:t xml:space="preserve">What We’ve Built (Current State)</w:t>
      </w:r>
    </w:p>
    <w:p>
      <w:pPr>
        <w:pStyle w:val="ListParagraph"/>
        <w:numPr>
          <w:ilvl w:val="0"/>
          <w:numId w:val="2"/>
        </w:numPr>
        <w:spacing w:after="60" w:before="60"/>
      </w:pPr>
      <w:r>
        <w:rPr>
          <w:rFonts w:ascii="Arial" w:cs="Arial" w:eastAsia="Arial" w:hAnsi="Arial"/>
          <w:color w:val="2C3E50"/>
          <w:sz w:val="22"/>
          <w:szCs w:val="22"/>
        </w:rPr>
        <w:t xml:space="preserve">Rust SDK core (malama-sdk-core): DID generation, ECDSA signing, Merkle batching engine — production-ready</w:t>
      </w:r>
    </w:p>
    <w:p>
      <w:pPr>
        <w:pStyle w:val="ListParagraph"/>
        <w:numPr>
          <w:ilvl w:val="0"/>
          <w:numId w:val="2"/>
        </w:numPr>
        <w:spacing w:after="60" w:before="60"/>
      </w:pPr>
      <w:r>
        <w:rPr>
          <w:rFonts w:ascii="Arial" w:cs="Arial" w:eastAsia="Arial" w:hAnsi="Arial"/>
          <w:color w:val="2C3E50"/>
          <w:sz w:val="22"/>
          <w:szCs w:val="22"/>
        </w:rPr>
        <w:t xml:space="preserve">Kafka data pipeline: sensor readings to batch processing, LSH compression</w:t>
      </w:r>
    </w:p>
    <w:p>
      <w:pPr>
        <w:pStyle w:val="ListParagraph"/>
        <w:numPr>
          <w:ilvl w:val="0"/>
          <w:numId w:val="2"/>
        </w:numPr>
        <w:spacing w:after="60" w:before="60"/>
      </w:pPr>
      <w:r>
        <w:rPr>
          <w:rFonts w:ascii="Arial" w:cs="Arial" w:eastAsia="Arial" w:hAnsi="Arial"/>
          <w:color w:val="2C3E50"/>
          <w:sz w:val="22"/>
          <w:szCs w:val="22"/>
        </w:rPr>
        <w:t xml:space="preserve">Multi-chain smart contracts on testnet: Cardano (Plutus), BASE (Solidity), HEDERA (HCS/HTS), CELO</w:t>
      </w:r>
    </w:p>
    <w:p>
      <w:pPr>
        <w:pStyle w:val="ListParagraph"/>
        <w:numPr>
          <w:ilvl w:val="0"/>
          <w:numId w:val="2"/>
        </w:numPr>
        <w:spacing w:after="60" w:before="60"/>
      </w:pPr>
      <w:r>
        <w:rPr>
          <w:rFonts w:ascii="Arial" w:cs="Arial" w:eastAsia="Arial" w:hAnsi="Arial"/>
          <w:color w:val="2C3E50"/>
          <w:sz w:val="22"/>
          <w:szCs w:val="22"/>
        </w:rPr>
        <w:t xml:space="preserve">AI validation engine: XGBoost confidence scoring with SHAP explainability (training in progress)</w:t>
      </w:r>
    </w:p>
    <w:p>
      <w:pPr>
        <w:pStyle w:val="ListParagraph"/>
        <w:numPr>
          <w:ilvl w:val="0"/>
          <w:numId w:val="2"/>
        </w:numPr>
        <w:spacing w:after="60" w:before="60"/>
      </w:pPr>
      <w:r>
        <w:rPr>
          <w:rFonts w:ascii="Arial" w:cs="Arial" w:eastAsia="Arial" w:hAnsi="Arial"/>
          <w:color w:val="2C3E50"/>
          <w:sz w:val="22"/>
          <w:szCs w:val="22"/>
        </w:rPr>
        <w:t xml:space="preserve">Settlement engine: LCO₂/VCO₂ minting gated at &gt;80% AI confidence, testnet live</w:t>
      </w:r>
    </w:p>
    <w:p>
      <w:pPr>
        <w:pStyle w:val="ListParagraph"/>
        <w:numPr>
          <w:ilvl w:val="0"/>
          <w:numId w:val="2"/>
        </w:numPr>
        <w:spacing w:after="60" w:before="60"/>
      </w:pPr>
      <w:r>
        <w:rPr>
          <w:rFonts w:ascii="Arial" w:cs="Arial" w:eastAsia="Arial" w:hAnsi="Arial"/>
          <w:color w:val="2C3E50"/>
          <w:sz w:val="22"/>
          <w:szCs w:val="22"/>
        </w:rPr>
        <w:t xml:space="preserve">Verra API integration underway; Idaho City Biochar Farm pilot onboarding (3 sensors)</w:t>
      </w:r>
    </w:p>
    <w:p>
      <w:pPr>
        <w:pStyle w:val="ListParagraph"/>
        <w:numPr>
          <w:ilvl w:val="0"/>
          <w:numId w:val="2"/>
        </w:numPr>
        <w:spacing w:after="60" w:before="60"/>
      </w:pPr>
      <w:r>
        <w:rPr>
          <w:rFonts w:ascii="Arial" w:cs="Arial" w:eastAsia="Arial" w:hAnsi="Arial"/>
          <w:color w:val="2C3E50"/>
          <w:sz w:val="22"/>
          <w:szCs w:val="22"/>
        </w:rPr>
        <w:t xml:space="preserve">React dashboard scaffolded with live sensor status and pipeline monitoring</w:t>
      </w:r>
    </w:p>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The Problem: MRV Is Broken By Design</w:t>
      </w:r>
    </w:p>
    <w:p>
      <w:pPr>
        <w:pBdr>
          <w:bottom w:val="single" w:color="0D7377" w:sz="6"/>
        </w:pBdr>
        <w:spacing w:after="160" w:before="0"/>
      </w:pPr>
    </w:p>
    <w:p>
      <w:pPr>
        <w:spacing w:after="140" w:before="100"/>
      </w:pPr>
      <w:r>
        <w:rPr>
          <w:rFonts w:ascii="Arial" w:cs="Arial" w:eastAsia="Arial" w:hAnsi="Arial"/>
          <w:i/>
          <w:iCs/>
          <w:color w:val="2C3E50"/>
          <w:sz w:val="24"/>
          <w:szCs w:val="24"/>
        </w:rPr>
        <w:t xml:space="preserve">Existing carbon credit verification produces a point-in-time attestation by a trusted third party. This architecture is fundamentally incompatible with long-duration permanence claims.</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How Carbon MRV Works Today</w:t>
      </w:r>
    </w:p>
    <w:p>
      <w:pPr>
        <w:spacing w:after="100" w:before="80"/>
      </w:pPr>
      <w:r>
        <w:rPr>
          <w:rFonts w:ascii="Arial" w:cs="Arial" w:eastAsia="Arial" w:hAnsi="Arial"/>
          <w:color w:val="2C3E50"/>
          <w:sz w:val="22"/>
          <w:szCs w:val="22"/>
        </w:rPr>
        <w:t xml:space="preserve">A project developer hires a third-party auditor (Verra-approved VVB) who visits the site, inspects documentation, and produces a verification report. This happens every 2–5 years. The auditor’s report is the sole basis for credit issuance. There is no continuous data, no cryptographic chain of custody, and no mechanism for buyers to independently verify the claim at any future point.</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Where This Fails</w:t>
      </w:r>
    </w:p>
    <w:p>
      <w:pPr>
        <w:pStyle w:val="ListParagraph"/>
        <w:numPr>
          <w:ilvl w:val="0"/>
          <w:numId w:val="2"/>
        </w:numPr>
        <w:spacing w:after="60" w:before="60"/>
      </w:pPr>
      <w:r>
        <w:rPr>
          <w:rFonts w:ascii="Arial" w:cs="Arial" w:eastAsia="Arial" w:hAnsi="Arial"/>
          <w:b/>
          <w:bCs/>
          <w:color w:val="2C3E50"/>
          <w:sz w:val="22"/>
          <w:szCs w:val="22"/>
        </w:rPr>
        <w:t xml:space="preserve">Temporal gap: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Anything that happens between audits — fire, deforestation, measurement error, project abandonment — is invisible until the next audit cycle.</w:t>
      </w:r>
    </w:p>
    <w:p>
      <w:pPr>
        <w:pStyle w:val="ListParagraph"/>
        <w:numPr>
          <w:ilvl w:val="0"/>
          <w:numId w:val="2"/>
        </w:numPr>
        <w:spacing w:after="60" w:before="60"/>
      </w:pPr>
      <w:r>
        <w:rPr>
          <w:rFonts w:ascii="Arial" w:cs="Arial" w:eastAsia="Arial" w:hAnsi="Arial"/>
          <w:b/>
          <w:bCs/>
          <w:color w:val="2C3E50"/>
          <w:sz w:val="22"/>
          <w:szCs w:val="22"/>
        </w:rPr>
        <w:t xml:space="preserve">Trust dependency: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The entire integrity chain rests on the honesty of the VVB and the project developer. Neither has cryptographic accountability.</w:t>
      </w:r>
    </w:p>
    <w:p>
      <w:pPr>
        <w:pStyle w:val="ListParagraph"/>
        <w:numPr>
          <w:ilvl w:val="0"/>
          <w:numId w:val="2"/>
        </w:numPr>
        <w:spacing w:after="60" w:before="60"/>
      </w:pPr>
      <w:r>
        <w:rPr>
          <w:rFonts w:ascii="Arial" w:cs="Arial" w:eastAsia="Arial" w:hAnsi="Arial"/>
          <w:b/>
          <w:bCs/>
          <w:color w:val="2C3E50"/>
          <w:sz w:val="22"/>
          <w:szCs w:val="22"/>
        </w:rPr>
        <w:t xml:space="preserve">No provenance: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Once a credit is issued, there is no data trail linking it to specific sensor readings, specific batches, or specific time windows. Buyers own a claim, not a proof.</w:t>
      </w:r>
    </w:p>
    <w:p>
      <w:pPr>
        <w:pStyle w:val="ListParagraph"/>
        <w:numPr>
          <w:ilvl w:val="0"/>
          <w:numId w:val="2"/>
        </w:numPr>
        <w:spacing w:after="60" w:before="60"/>
      </w:pPr>
      <w:r>
        <w:rPr>
          <w:rFonts w:ascii="Arial" w:cs="Arial" w:eastAsia="Arial" w:hAnsi="Arial"/>
          <w:b/>
          <w:bCs/>
          <w:color w:val="2C3E50"/>
          <w:sz w:val="22"/>
          <w:szCs w:val="22"/>
        </w:rPr>
        <w:t xml:space="preserve">Revision risk: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Verra has retroactively invalidated credits when audits surface discrepancies. Buyers who purchased those credits bear the loss.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8"/>
              <w:bottom w:val="single" w:color="0D7377" w:sz="1"/>
              <w:right w:val="none" w:color="FFFFFF" w:sz="0"/>
            </w:tcBorders>
            <w:shd w:fill="F0F6F7" w:val="clear"/>
            <w:tcMar>
              <w:top w:type="dxa" w:w="120"/>
              <w:left w:type="dxa" w:w="200"/>
              <w:bottom w:type="dxa" w:w="120"/>
              <w:right w:type="dxa" w:w="200"/>
            </w:tcMar>
          </w:tcPr>
          <w:p>
            <w:r>
              <w:rPr>
                <w:rFonts w:ascii="Arial" w:cs="Arial" w:eastAsia="Arial" w:hAnsi="Arial"/>
                <w:i/>
                <w:iCs/>
                <w:color w:val="2C3E50"/>
                <w:sz w:val="22"/>
                <w:szCs w:val="22"/>
              </w:rPr>
              <w:t xml:space="preserve">The solution is not a better auditor. It is a data architecture that makes continuous verification the default — and makes trust an emergent property of cryptographic proof, not institutional reputation.</w:t>
            </w:r>
          </w:p>
        </w:tc>
      </w:tr>
    </w:tbl>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The Mālama Solution</w:t>
      </w:r>
    </w:p>
    <w:p>
      <w:pPr>
        <w:pBdr>
          <w:bottom w:val="single" w:color="0D7377" w:sz="6"/>
        </w:pBdr>
        <w:spacing w:after="160" w:before="0"/>
      </w:pPr>
    </w:p>
    <w:p>
      <w:pPr>
        <w:spacing w:after="140" w:before="100"/>
      </w:pPr>
      <w:r>
        <w:rPr>
          <w:rFonts w:ascii="Arial" w:cs="Arial" w:eastAsia="Arial" w:hAnsi="Arial"/>
          <w:i/>
          <w:iCs/>
          <w:color w:val="2C3E50"/>
          <w:sz w:val="24"/>
          <w:szCs w:val="24"/>
        </w:rPr>
        <w:t xml:space="preserve">Every data point travels through 7 cryptographic stages from physical sensor to settlement. We call this the Odyssey.</w:t>
      </w:r>
    </w:p>
    <w:p>
      <w:pPr>
        <w:spacing w:after="0" w:before="60"/>
      </w:pPr>
      <w:r>
        <w:t xml:space="preserve"/>
      </w:r>
    </w:p>
    <w:p>
      <w:pPr>
        <w:spacing w:after="100" w:before="80"/>
      </w:pPr>
      <w:r>
        <w:rPr>
          <w:rFonts w:ascii="Arial" w:cs="Arial" w:eastAsia="Arial" w:hAnsi="Arial"/>
          <w:color w:val="2C3E50"/>
          <w:sz w:val="22"/>
          <w:szCs w:val="22"/>
        </w:rPr>
        <w:t xml:space="preserve">Mālama’s core insight is that integrity cannot be retrofitted onto a carbon credit after issuance. It must be built into the data pipeline at the moment of measurement. The protocol achieves this by giving each sensor an unforgeable cryptographic identity and requiring every reading to prove its own provenance before it contributes to any credit claim.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D5E8F0" w:sz="1"/>
              <w:left w:val="single" w:color="D5E8F0" w:sz="1"/>
              <w:bottom w:val="single" w:color="D5E8F0" w:sz="1"/>
              <w:right w:val="single" w:color="D5E8F0"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D5E8F0" w:sz="1"/>
              <w:left w:val="single" w:color="D5E8F0" w:sz="1"/>
              <w:bottom w:val="single" w:color="D5E8F0" w:sz="1"/>
              <w:right w:val="single" w:color="D5E8F0"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Stage Name</w:t>
            </w:r>
          </w:p>
        </w:tc>
        <w:tc>
          <w:tcPr>
            <w:tcW w:type="dxa" w:w="6560"/>
            <w:tcBorders>
              <w:top w:val="single" w:color="D5E8F0" w:sz="1"/>
              <w:left w:val="single" w:color="D5E8F0" w:sz="1"/>
              <w:bottom w:val="single" w:color="D5E8F0" w:sz="1"/>
              <w:right w:val="single" w:color="D5E8F0"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vAlign w:val="center"/>
          </w:tcPr>
          <w:p>
            <w:pPr>
              <w:jc w:val="center"/>
            </w:pPr>
            <w:r>
              <w:rPr>
                <w:rFonts w:ascii="Arial" w:cs="Arial" w:eastAsia="Arial" w:hAnsi="Arial"/>
                <w:b/>
                <w:bCs/>
                <w:color w:val="0D7377"/>
                <w:sz w:val="22"/>
                <w:szCs w:val="22"/>
              </w:rPr>
              <w:t xml:space="preserve">1</w:t>
            </w:r>
          </w:p>
        </w:tc>
        <w:tc>
          <w:tcPr>
            <w:tcW w:type="dxa" w:w="2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Birth &amp; Identity</w:t>
            </w:r>
          </w:p>
        </w:tc>
        <w:tc>
          <w:tcPr>
            <w:tcW w:type="dxa" w:w="65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color w:val="2C3E50"/>
                <w:sz w:val="20"/>
                <w:szCs w:val="20"/>
              </w:rPr>
              <w:t xml:space="preserve">Sensor generates ECDSA keypair and W3C-compliant DID on first boot. Every reading is cryptographically signed at source.</w:t>
            </w:r>
          </w:p>
        </w:tc>
      </w:tr>
      <w:tr>
        <w:tc>
          <w:tcPr>
            <w:tcW w:type="dxa" w:w="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22"/>
                <w:szCs w:val="22"/>
              </w:rPr>
              <w:t xml:space="preserve">2</w:t>
            </w:r>
          </w:p>
        </w:tc>
        <w:tc>
          <w:tcPr>
            <w:tcW w:type="dxa" w:w="20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Gateway &amp; Batching</w:t>
            </w:r>
          </w:p>
        </w:tc>
        <w:tc>
          <w:tcPr>
            <w:tcW w:type="dxa" w:w="65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Signed readings stream via Kafka. Engine batches them into Merkle trees, compressing with LSH. Root published every hour.</w:t>
            </w:r>
          </w:p>
        </w:tc>
      </w:tr>
      <w:tr>
        <w:tc>
          <w:tcPr>
            <w:tcW w:type="dxa" w:w="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vAlign w:val="center"/>
          </w:tcPr>
          <w:p>
            <w:pPr>
              <w:jc w:val="center"/>
            </w:pPr>
            <w:r>
              <w:rPr>
                <w:rFonts w:ascii="Arial" w:cs="Arial" w:eastAsia="Arial" w:hAnsi="Arial"/>
                <w:b/>
                <w:bCs/>
                <w:color w:val="0D7377"/>
                <w:sz w:val="22"/>
                <w:szCs w:val="22"/>
              </w:rPr>
              <w:t xml:space="preserve">3</w:t>
            </w:r>
          </w:p>
        </w:tc>
        <w:tc>
          <w:tcPr>
            <w:tcW w:type="dxa" w:w="2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Validator Consensus</w:t>
            </w:r>
          </w:p>
        </w:tc>
        <w:tc>
          <w:tcPr>
            <w:tcW w:type="dxa" w:w="65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color w:val="2C3E50"/>
                <w:sz w:val="20"/>
                <w:szCs w:val="20"/>
              </w:rPr>
              <w:t xml:space="preserve">2-of-3 independent validator quorum signs each batch. Collusion requires compromising multiple independent parties simultaneously.</w:t>
            </w:r>
          </w:p>
        </w:tc>
      </w:tr>
      <w:tr>
        <w:tc>
          <w:tcPr>
            <w:tcW w:type="dxa" w:w="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22"/>
                <w:szCs w:val="22"/>
              </w:rPr>
              <w:t xml:space="preserve">4</w:t>
            </w:r>
          </w:p>
        </w:tc>
        <w:tc>
          <w:tcPr>
            <w:tcW w:type="dxa" w:w="20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IPFS Permanence</w:t>
            </w:r>
          </w:p>
        </w:tc>
        <w:tc>
          <w:tcPr>
            <w:tcW w:type="dxa" w:w="65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Batch + Merkle proof pinned to IPFS via Pinata. CID anchors the full evidence bundle permanently and immutably.</w:t>
            </w:r>
          </w:p>
        </w:tc>
      </w:tr>
      <w:tr>
        <w:tc>
          <w:tcPr>
            <w:tcW w:type="dxa" w:w="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vAlign w:val="center"/>
          </w:tcPr>
          <w:p>
            <w:pPr>
              <w:jc w:val="center"/>
            </w:pPr>
            <w:r>
              <w:rPr>
                <w:rFonts w:ascii="Arial" w:cs="Arial" w:eastAsia="Arial" w:hAnsi="Arial"/>
                <w:b/>
                <w:bCs/>
                <w:color w:val="0D7377"/>
                <w:sz w:val="22"/>
                <w:szCs w:val="22"/>
              </w:rPr>
              <w:t xml:space="preserve">5</w:t>
            </w:r>
          </w:p>
        </w:tc>
        <w:tc>
          <w:tcPr>
            <w:tcW w:type="dxa" w:w="2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Integrity &amp; Immutability</w:t>
            </w:r>
          </w:p>
        </w:tc>
        <w:tc>
          <w:tcPr>
            <w:tcW w:type="dxa" w:w="65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color w:val="2C3E50"/>
                <w:sz w:val="20"/>
                <w:szCs w:val="20"/>
              </w:rPr>
              <w:t xml:space="preserve">Replay attack detection, GPS spoofing checks, GDPR-compliant data handling. Tampered readings fail AI confidence scoring.</w:t>
            </w:r>
          </w:p>
        </w:tc>
      </w:tr>
      <w:tr>
        <w:tc>
          <w:tcPr>
            <w:tcW w:type="dxa" w:w="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22"/>
                <w:szCs w:val="22"/>
              </w:rPr>
              <w:t xml:space="preserve">6</w:t>
            </w:r>
          </w:p>
        </w:tc>
        <w:tc>
          <w:tcPr>
            <w:tcW w:type="dxa" w:w="20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Multi-Chain Settlement</w:t>
            </w:r>
          </w:p>
        </w:tc>
        <w:tc>
          <w:tcPr>
            <w:tcW w:type="dxa" w:w="65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LCO₂/VCO₂ tokens minted on Cardano, BASE, HEDERA, and CELO when AI confidence exceeds 80%. Settlement is confidence-gated.</w:t>
            </w:r>
          </w:p>
        </w:tc>
      </w:tr>
      <w:tr>
        <w:tc>
          <w:tcPr>
            <w:tcW w:type="dxa" w:w="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vAlign w:val="center"/>
          </w:tcPr>
          <w:p>
            <w:pPr>
              <w:jc w:val="center"/>
            </w:pPr>
            <w:r>
              <w:rPr>
                <w:rFonts w:ascii="Arial" w:cs="Arial" w:eastAsia="Arial" w:hAnsi="Arial"/>
                <w:b/>
                <w:bCs/>
                <w:color w:val="0D7377"/>
                <w:sz w:val="22"/>
                <w:szCs w:val="22"/>
              </w:rPr>
              <w:t xml:space="preserve">7</w:t>
            </w:r>
          </w:p>
        </w:tc>
        <w:tc>
          <w:tcPr>
            <w:tcW w:type="dxa" w:w="2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Verification &amp; Proof</w:t>
            </w:r>
          </w:p>
        </w:tc>
        <w:tc>
          <w:tcPr>
            <w:tcW w:type="dxa" w:w="65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color w:val="2C3E50"/>
                <w:sz w:val="20"/>
                <w:szCs w:val="20"/>
              </w:rPr>
              <w:t xml:space="preserve">Proof-of-Journey bundle submitted to Verra API. Full chain-of-custody from field sensor to registry-issued credit is auditable by any third party.</w:t>
            </w:r>
          </w:p>
        </w:tc>
      </w:tr>
    </w:tbl>
    <w:p>
      <w:pPr>
        <w:spacing w:after="0" w:before="60"/>
      </w:pPr>
      <w:r>
        <w:t xml:space="preserve"/>
      </w:r>
    </w:p>
    <w:p>
      <w:pPr>
        <w:spacing w:after="160" w:before="60"/>
        <w:jc w:val="center"/>
      </w:pPr>
      <w:r>
        <w:rPr>
          <w:rFonts w:ascii="Arial" w:cs="Arial" w:eastAsia="Arial" w:hAnsi="Arial"/>
          <w:i/>
          <w:iCs/>
          <w:color w:val="7F8C8D"/>
          <w:sz w:val="18"/>
          <w:szCs w:val="18"/>
        </w:rPr>
        <w:t xml:space="preserve">Table 1: The Odyssey — seven cryptographic stages from sensor to registry-issued credit</w:t>
      </w:r>
    </w:p>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AI Validation Engine</w:t>
      </w:r>
    </w:p>
    <w:p>
      <w:pPr>
        <w:pBdr>
          <w:bottom w:val="single" w:color="0D7377" w:sz="6"/>
        </w:pBdr>
        <w:spacing w:after="160" w:before="0"/>
      </w:pPr>
    </w:p>
    <w:p>
      <w:pPr>
        <w:spacing w:after="140" w:before="100"/>
      </w:pPr>
      <w:r>
        <w:rPr>
          <w:rFonts w:ascii="Arial" w:cs="Arial" w:eastAsia="Arial" w:hAnsi="Arial"/>
          <w:i/>
          <w:iCs/>
          <w:color w:val="2C3E50"/>
          <w:sz w:val="24"/>
          <w:szCs w:val="24"/>
        </w:rPr>
        <w:t xml:space="preserve">The AI layer is not a black box — every confidence score is field-level explainable via SHAP. Auditors see exactly why a reading was accepted or rejected.</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Why AI Is Necessary</w:t>
      </w:r>
    </w:p>
    <w:p>
      <w:pPr>
        <w:spacing w:after="100" w:before="80"/>
      </w:pPr>
      <w:r>
        <w:rPr>
          <w:rFonts w:ascii="Arial" w:cs="Arial" w:eastAsia="Arial" w:hAnsi="Arial"/>
          <w:color w:val="2C3E50"/>
          <w:sz w:val="22"/>
          <w:szCs w:val="22"/>
        </w:rPr>
        <w:t xml:space="preserve">Carbon sequestration sensors operate in harsh field environments. Battery degradation, GPS drift, temperature extremes, and network interruptions produce anomalous readings that are not fraud but will corrupt credit calculations if ingested without validation. Episodic human review at scale is not operationally viable. An automated confidence engine is the only approach that is both rigorous and scalable.</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Model Architecture</w:t>
      </w:r>
    </w:p>
    <w:p>
      <w:pPr>
        <w:pStyle w:val="ListParagraph"/>
        <w:numPr>
          <w:ilvl w:val="0"/>
          <w:numId w:val="2"/>
        </w:numPr>
        <w:spacing w:after="60" w:before="60"/>
      </w:pPr>
      <w:r>
        <w:rPr>
          <w:rFonts w:ascii="Arial" w:cs="Arial" w:eastAsia="Arial" w:hAnsi="Arial"/>
          <w:b/>
          <w:bCs/>
          <w:color w:val="2C3E50"/>
          <w:sz w:val="22"/>
          <w:szCs w:val="22"/>
        </w:rPr>
        <w:t xml:space="preserve">Algorithm: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XGBoost gradient boosting classifier, trained on labeled sensor data (clean vs. anomalous readings)</w:t>
      </w:r>
    </w:p>
    <w:p>
      <w:pPr>
        <w:pStyle w:val="ListParagraph"/>
        <w:numPr>
          <w:ilvl w:val="0"/>
          <w:numId w:val="2"/>
        </w:numPr>
        <w:spacing w:after="60" w:before="60"/>
      </w:pPr>
      <w:r>
        <w:rPr>
          <w:rFonts w:ascii="Arial" w:cs="Arial" w:eastAsia="Arial" w:hAnsi="Arial"/>
          <w:b/>
          <w:bCs/>
          <w:color w:val="2C3E50"/>
          <w:sz w:val="22"/>
          <w:szCs w:val="22"/>
        </w:rPr>
        <w:t xml:space="preserve">Features: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Battery voltage, signal strength, GPS drift radius, sequential reading delta, temperature uncertainty bounds, sequence number continuity, time-since-last-reading</w:t>
      </w:r>
    </w:p>
    <w:p>
      <w:pPr>
        <w:pStyle w:val="ListParagraph"/>
        <w:numPr>
          <w:ilvl w:val="0"/>
          <w:numId w:val="2"/>
        </w:numPr>
        <w:spacing w:after="60" w:before="60"/>
      </w:pPr>
      <w:r>
        <w:rPr>
          <w:rFonts w:ascii="Arial" w:cs="Arial" w:eastAsia="Arial" w:hAnsi="Arial"/>
          <w:b/>
          <w:bCs/>
          <w:color w:val="2C3E50"/>
          <w:sz w:val="22"/>
          <w:szCs w:val="22"/>
        </w:rPr>
        <w:t xml:space="preserve">Output: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Confidence score 0–1.0 per reading. Batches with aggregate confidence &gt;0.80 are eligible for LCO₂ minting.</w:t>
      </w:r>
    </w:p>
    <w:p>
      <w:pPr>
        <w:pStyle w:val="ListParagraph"/>
        <w:numPr>
          <w:ilvl w:val="0"/>
          <w:numId w:val="2"/>
        </w:numPr>
        <w:spacing w:after="60" w:before="60"/>
      </w:pPr>
      <w:r>
        <w:rPr>
          <w:rFonts w:ascii="Arial" w:cs="Arial" w:eastAsia="Arial" w:hAnsi="Arial"/>
          <w:b/>
          <w:bCs/>
          <w:color w:val="2C3E50"/>
          <w:sz w:val="22"/>
          <w:szCs w:val="22"/>
        </w:rPr>
        <w:t xml:space="preserve">Explainability: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SHAP (SHapley Additive exPlanations) outputs a per-feature contribution for every acceptance or rejection decision. Auditors receive a human-readable breakdown, not a black-box score.</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Confidence Threshold Logic</w:t>
      </w:r>
    </w:p>
    <w:p>
      <w:pPr>
        <w:spacing w:after="100" w:before="80"/>
      </w:pPr>
      <w:r>
        <w:rPr>
          <w:rFonts w:ascii="Arial" w:cs="Arial" w:eastAsia="Arial" w:hAnsi="Arial"/>
          <w:color w:val="2C3E50"/>
          <w:sz w:val="22"/>
          <w:szCs w:val="22"/>
        </w:rPr>
        <w:t xml:space="preserve">The 80% confidence threshold is not arbitrary. It corresponds to the point at which false positive rate (accepting a compromised reading) drops below 2% based on training data. This threshold is configurable per project type — a biochar farm with stable sensor history may warrant a lower threshold; a new deployment in a high-variance environment may require a higher 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8"/>
              <w:bottom w:val="single" w:color="0D7377" w:sz="1"/>
              <w:right w:val="none" w:color="FFFFFF" w:sz="0"/>
            </w:tcBorders>
            <w:shd w:fill="F0F6F7" w:val="clear"/>
            <w:tcMar>
              <w:top w:type="dxa" w:w="120"/>
              <w:left w:type="dxa" w:w="200"/>
              <w:bottom w:type="dxa" w:w="120"/>
              <w:right w:type="dxa" w:w="200"/>
            </w:tcMar>
          </w:tcPr>
          <w:p>
            <w:r>
              <w:rPr>
                <w:rFonts w:ascii="Arial" w:cs="Arial" w:eastAsia="Arial" w:hAnsi="Arial"/>
                <w:i/>
                <w:iCs/>
                <w:color w:val="2C3E50"/>
                <w:sz w:val="22"/>
                <w:szCs w:val="22"/>
              </w:rPr>
              <w:t xml:space="preserve">Key property: if Mālama’s AI model is unavailable or compromised, the settlement engine mints nothing. The default state is zero credits — not corrupted credits.</w:t>
            </w:r>
          </w:p>
        </w:tc>
      </w:tr>
    </w:tbl>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Multi-Chain Settlement Architecture</w:t>
      </w:r>
    </w:p>
    <w:p>
      <w:pPr>
        <w:pBdr>
          <w:bottom w:val="single" w:color="0D7377" w:sz="6"/>
        </w:pBdr>
        <w:spacing w:after="160" w:before="0"/>
      </w:pPr>
    </w:p>
    <w:p>
      <w:pPr>
        <w:spacing w:after="140" w:before="100"/>
      </w:pPr>
      <w:r>
        <w:rPr>
          <w:rFonts w:ascii="Arial" w:cs="Arial" w:eastAsia="Arial" w:hAnsi="Arial"/>
          <w:i/>
          <w:iCs/>
          <w:color w:val="2C3E50"/>
          <w:sz w:val="24"/>
          <w:szCs w:val="24"/>
        </w:rPr>
        <w:t xml:space="preserve">Mālama anchors to four blockchains not for marketing reasons, but as a structural hedge against single-chain governance risk and as settlement optionality for different buyer constituencies.</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Chain Selection Rationale</w:t>
      </w:r>
    </w:p>
    <w:p>
      <w:pPr>
        <w:pStyle w:val="ListParagraph"/>
        <w:numPr>
          <w:ilvl w:val="0"/>
          <w:numId w:val="2"/>
        </w:numPr>
        <w:spacing w:after="60" w:before="60"/>
      </w:pPr>
      <w:r>
        <w:rPr>
          <w:rFonts w:ascii="Arial" w:cs="Arial" w:eastAsia="Arial" w:hAnsi="Arial"/>
          <w:b/>
          <w:bCs/>
          <w:color w:val="2C3E50"/>
          <w:sz w:val="22"/>
          <w:szCs w:val="22"/>
        </w:rPr>
        <w:t xml:space="preserve">Cardano: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Native asset model (Plutus) is well-suited for carbon credit tokens with complex validation logic. eUTXO model reduces state contention. Strong NGO and impact-investment alignment.</w:t>
      </w:r>
    </w:p>
    <w:p>
      <w:pPr>
        <w:pStyle w:val="ListParagraph"/>
        <w:numPr>
          <w:ilvl w:val="0"/>
          <w:numId w:val="2"/>
        </w:numPr>
        <w:spacing w:after="60" w:before="60"/>
      </w:pPr>
      <w:r>
        <w:rPr>
          <w:rFonts w:ascii="Arial" w:cs="Arial" w:eastAsia="Arial" w:hAnsi="Arial"/>
          <w:b/>
          <w:bCs/>
          <w:color w:val="2C3E50"/>
          <w:sz w:val="22"/>
          <w:szCs w:val="22"/>
        </w:rPr>
        <w:t xml:space="preserve">BASE (Coinbase L2):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EVM-compatible, low fees, institutional Coinbase rails. Access to DeFi liquidity and corporate treasury infrastructure for carbon settlement.</w:t>
      </w:r>
    </w:p>
    <w:p>
      <w:pPr>
        <w:pStyle w:val="ListParagraph"/>
        <w:numPr>
          <w:ilvl w:val="0"/>
          <w:numId w:val="2"/>
        </w:numPr>
        <w:spacing w:after="60" w:before="60"/>
      </w:pPr>
      <w:r>
        <w:rPr>
          <w:rFonts w:ascii="Arial" w:cs="Arial" w:eastAsia="Arial" w:hAnsi="Arial"/>
          <w:b/>
          <w:bCs/>
          <w:color w:val="2C3E50"/>
          <w:sz w:val="22"/>
          <w:szCs w:val="22"/>
        </w:rPr>
        <w:t xml:space="preserve">HEDERA: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Hashgraph consensus with HCS (Hedera Consensus Service) provides timestamped, ordered message finality. HTS (Token Service) is purpose-built for regulated asset issuance. Strong enterprise and sustainability sector adoption.</w:t>
      </w:r>
    </w:p>
    <w:p>
      <w:pPr>
        <w:pStyle w:val="ListParagraph"/>
        <w:numPr>
          <w:ilvl w:val="0"/>
          <w:numId w:val="2"/>
        </w:numPr>
        <w:spacing w:after="60" w:before="60"/>
      </w:pPr>
      <w:r>
        <w:rPr>
          <w:rFonts w:ascii="Arial" w:cs="Arial" w:eastAsia="Arial" w:hAnsi="Arial"/>
          <w:b/>
          <w:bCs/>
          <w:color w:val="2C3E50"/>
          <w:sz w:val="22"/>
          <w:szCs w:val="22"/>
        </w:rPr>
        <w:t xml:space="preserve">CELO: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Mobile-first EVM chain with existing carbon credit ecosystem (Toucan, KlimaDAO integrations). Regenerative finance community alignment.</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Token Architecture</w:t>
      </w:r>
    </w:p>
    <w:p>
      <w:pPr>
        <w:pStyle w:val="ListParagraph"/>
        <w:numPr>
          <w:ilvl w:val="0"/>
          <w:numId w:val="2"/>
        </w:numPr>
        <w:spacing w:after="60" w:before="60"/>
      </w:pPr>
      <w:r>
        <w:rPr>
          <w:rFonts w:ascii="Arial" w:cs="Arial" w:eastAsia="Arial" w:hAnsi="Arial"/>
          <w:b/>
          <w:bCs/>
          <w:color w:val="2C3E50"/>
          <w:sz w:val="22"/>
          <w:szCs w:val="22"/>
        </w:rPr>
        <w:t xml:space="preserve">LCO₂ (Liquid Carbon Dioxide equivalent):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Fungible token representing 1 tonne of verified carbon removal. Minted upon confidence &gt;80% threshold.</w:t>
      </w:r>
    </w:p>
    <w:p>
      <w:pPr>
        <w:pStyle w:val="ListParagraph"/>
        <w:numPr>
          <w:ilvl w:val="0"/>
          <w:numId w:val="2"/>
        </w:numPr>
        <w:spacing w:after="60" w:before="60"/>
      </w:pPr>
      <w:r>
        <w:rPr>
          <w:rFonts w:ascii="Arial" w:cs="Arial" w:eastAsia="Arial" w:hAnsi="Arial"/>
          <w:b/>
          <w:bCs/>
          <w:color w:val="2C3E50"/>
          <w:sz w:val="22"/>
          <w:szCs w:val="22"/>
        </w:rPr>
        <w:t xml:space="preserve">VCO₂ (Verified Carbon Dioxide equivalent):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After Verra Proof-of-Journey acceptance, LCO₂ is upgraded to VCO₂ — carrying full registry backing.</w:t>
      </w:r>
    </w:p>
    <w:p>
      <w:pPr>
        <w:pStyle w:val="ListParagraph"/>
        <w:numPr>
          <w:ilvl w:val="0"/>
          <w:numId w:val="2"/>
        </w:numPr>
        <w:spacing w:after="60" w:before="60"/>
      </w:pPr>
      <w:r>
        <w:rPr>
          <w:rFonts w:ascii="Arial" w:cs="Arial" w:eastAsia="Arial" w:hAnsi="Arial"/>
          <w:b/>
          <w:bCs/>
          <w:color w:val="2C3E50"/>
          <w:sz w:val="22"/>
          <w:szCs w:val="22"/>
        </w:rPr>
        <w:t xml:space="preserve">Validator signatures: </w:t>
      </w:r>
      <w:r>
        <w:rPr>
          <w:rFonts w:ascii="Arial" w:cs="Arial" w:eastAsia="Arial" w:hAnsi="Arial"/>
          <w:color w:val="2C3E50"/>
          <w:sz w:val="22"/>
          <w:szCs w:val="22"/>
        </w:rPr>
        <w:t xml:space="preserve"/>
      </w:r>
    </w:p>
    <w:p>
      <w:pPr>
        <w:pStyle w:val="ListParagraph"/>
        <w:numPr>
          <w:ilvl w:val="0"/>
          <w:numId w:val="2"/>
        </w:numPr>
        <w:spacing w:after="60" w:before="60"/>
      </w:pPr>
      <w:r>
        <w:rPr>
          <w:rFonts w:ascii="Arial" w:cs="Arial" w:eastAsia="Arial" w:hAnsi="Arial"/>
          <w:color w:val="2C3E50"/>
          <w:sz w:val="22"/>
          <w:szCs w:val="22"/>
        </w:rPr>
        <w:t xml:space="preserve">2-of-3 independent validators must sign each settlement event. No single entity can mint credits unilaterally.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8"/>
              <w:bottom w:val="single" w:color="0D7377" w:sz="1"/>
              <w:right w:val="none" w:color="FFFFFF" w:sz="0"/>
            </w:tcBorders>
            <w:shd w:fill="F0F6F7" w:val="clear"/>
            <w:tcMar>
              <w:top w:type="dxa" w:w="120"/>
              <w:left w:type="dxa" w:w="200"/>
              <w:bottom w:type="dxa" w:w="120"/>
              <w:right w:type="dxa" w:w="200"/>
            </w:tcMar>
          </w:tcPr>
          <w:p>
            <w:r>
              <w:rPr>
                <w:rFonts w:ascii="Arial" w:cs="Arial" w:eastAsia="Arial" w:hAnsi="Arial"/>
                <w:i/>
                <w:iCs/>
                <w:color w:val="2C3E50"/>
                <w:sz w:val="22"/>
                <w:szCs w:val="22"/>
              </w:rPr>
              <w:t xml:space="preserve">LCO₂ and VCO₂ are not synthetic instruments. They are settlement layers on top of a verified physical process. Token supply is mechanically constrained by measured sequestration, not issuer discretion.</w:t>
            </w:r>
          </w:p>
        </w:tc>
      </w:tr>
    </w:tbl>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Integrity Architecture: Key Parameters</w:t>
      </w:r>
    </w:p>
    <w:p>
      <w:pPr>
        <w:pBdr>
          <w:bottom w:val="single" w:color="0D7377" w:sz="6"/>
        </w:pBdr>
        <w:spacing w:after="160" w:before="0"/>
      </w:pPr>
    </w:p>
    <w:p>
      <w:pPr>
        <w:spacing w:after="100" w:before="80"/>
      </w:pPr>
      <w:r>
        <w:rPr>
          <w:rFonts w:ascii="Arial" w:cs="Arial" w:eastAsia="Arial" w:hAnsi="Arial"/>
          <w:color w:val="2C3E50"/>
          <w:sz w:val="22"/>
          <w:szCs w:val="22"/>
        </w:rPr>
        <w:t xml:space="preserve">The table below summarizes the key integrity parameters of the Mālama Protocol. These are not design aspirations — they are operational constraints enforced at the code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5E8F0" w:sz="1"/>
              <w:left w:val="single" w:color="D5E8F0" w:sz="1"/>
              <w:bottom w:val="single" w:color="D5E8F0" w:sz="1"/>
              <w:right w:val="single" w:color="D5E8F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D5E8F0" w:sz="1"/>
              <w:left w:val="single" w:color="D5E8F0" w:sz="1"/>
              <w:bottom w:val="single" w:color="D5E8F0" w:sz="1"/>
              <w:right w:val="single" w:color="D5E8F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D5E8F0" w:sz="1"/>
              <w:left w:val="single" w:color="D5E8F0" w:sz="1"/>
              <w:bottom w:val="single" w:color="D5E8F0" w:sz="1"/>
              <w:right w:val="single" w:color="D5E8F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Integrity Implication</w:t>
            </w:r>
          </w:p>
        </w:tc>
      </w:tr>
      <w:tr>
        <w:tc>
          <w:tcPr>
            <w:tcW w:type="dxa" w:w="25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AI Confidence Threshold</w:t>
            </w:r>
          </w:p>
        </w:tc>
        <w:tc>
          <w:tcPr>
            <w:tcW w:type="dxa" w:w="3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&gt;80% required to mint LCO₂ token</w:t>
            </w:r>
          </w:p>
        </w:tc>
        <w:tc>
          <w:tcPr>
            <w:tcW w:type="dxa" w:w="38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Prevents low-quality data from becoming credits</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Validator Quorum</w:t>
            </w:r>
          </w:p>
        </w:tc>
        <w:tc>
          <w:tcPr>
            <w:tcW w:type="dxa" w:w="30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2-of-3 independent validators</w:t>
            </w:r>
          </w:p>
        </w:tc>
        <w:tc>
          <w:tcPr>
            <w:tcW w:type="dxa" w:w="38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single point of collusion or failure</w:t>
            </w:r>
          </w:p>
        </w:tc>
      </w:tr>
      <w:tr>
        <w:tc>
          <w:tcPr>
            <w:tcW w:type="dxa" w:w="25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Merkle Root Cadence</w:t>
            </w:r>
          </w:p>
        </w:tc>
        <w:tc>
          <w:tcPr>
            <w:tcW w:type="dxa" w:w="3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Every 60 minutes</w:t>
            </w:r>
          </w:p>
        </w:tc>
        <w:tc>
          <w:tcPr>
            <w:tcW w:type="dxa" w:w="38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Limits attack window; hourly audit checkpoints</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Chain Anchoring</w:t>
            </w:r>
          </w:p>
        </w:tc>
        <w:tc>
          <w:tcPr>
            <w:tcW w:type="dxa" w:w="30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 blockchains (Cardano, BASE, HEDERA, CELO)</w:t>
            </w:r>
          </w:p>
        </w:tc>
        <w:tc>
          <w:tcPr>
            <w:tcW w:type="dxa" w:w="38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Settlement optionality; no single-chain dependency</w:t>
            </w:r>
          </w:p>
        </w:tc>
      </w:tr>
      <w:tr>
        <w:tc>
          <w:tcPr>
            <w:tcW w:type="dxa" w:w="25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IPFS Permanence</w:t>
            </w:r>
          </w:p>
        </w:tc>
        <w:tc>
          <w:tcPr>
            <w:tcW w:type="dxa" w:w="3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batches pinned via Pinata</w:t>
            </w:r>
          </w:p>
        </w:tc>
        <w:tc>
          <w:tcPr>
            <w:tcW w:type="dxa" w:w="38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Evidence bundle persists independent of Malama</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Registry Integration</w:t>
            </w:r>
          </w:p>
        </w:tc>
        <w:tc>
          <w:tcPr>
            <w:tcW w:type="dxa" w:w="30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Verra API (Proof-of-Journey submission)</w:t>
            </w:r>
          </w:p>
        </w:tc>
        <w:tc>
          <w:tcPr>
            <w:tcW w:type="dxa" w:w="38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Credits recognized by existing market infrastructure</w:t>
            </w:r>
          </w:p>
        </w:tc>
      </w:tr>
      <w:tr>
        <w:tc>
          <w:tcPr>
            <w:tcW w:type="dxa" w:w="25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Sensor Identity</w:t>
            </w:r>
          </w:p>
        </w:tc>
        <w:tc>
          <w:tcPr>
            <w:tcW w:type="dxa" w:w="30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W3C DID + ECDSA keypair per sensor</w:t>
            </w:r>
          </w:p>
        </w:tc>
        <w:tc>
          <w:tcPr>
            <w:tcW w:type="dxa" w:w="38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Unforgeable source attribution at hardware level</w:t>
            </w:r>
          </w:p>
        </w:tc>
      </w:tr>
    </w:tbl>
    <w:p>
      <w:pPr>
        <w:spacing w:after="0" w:before="60"/>
      </w:pPr>
      <w:r>
        <w:t xml:space="preserve"/>
      </w:r>
    </w:p>
    <w:p>
      <w:pPr>
        <w:spacing w:after="160" w:before="60"/>
        <w:jc w:val="center"/>
      </w:pPr>
      <w:r>
        <w:rPr>
          <w:rFonts w:ascii="Arial" w:cs="Arial" w:eastAsia="Arial" w:hAnsi="Arial"/>
          <w:i/>
          <w:iCs/>
          <w:color w:val="7F8C8D"/>
          <w:sz w:val="18"/>
          <w:szCs w:val="18"/>
        </w:rPr>
        <w:t xml:space="preserve">Table 2: Protocol integrity parameters and their carbon market implications</w:t>
      </w:r>
    </w:p>
    <w:p>
      <w:pPr>
        <w:spacing w:after="0" w:before="100"/>
      </w:pPr>
      <w:r>
        <w:t xml:space="preserve"/>
      </w:r>
    </w:p>
    <w:p>
      <w:pPr>
        <w:pStyle w:val="Heading1"/>
        <w:spacing w:after="120" w:before="400"/>
      </w:pPr>
      <w:r>
        <w:rPr>
          <w:rFonts w:ascii="Arial" w:cs="Arial" w:eastAsia="Arial" w:hAnsi="Arial"/>
          <w:b/>
          <w:bCs/>
          <w:color w:val="1E2D3D"/>
          <w:sz w:val="34"/>
          <w:szCs w:val="34"/>
        </w:rPr>
        <w:t xml:space="preserve">Registry Integration: Verra &amp; Gold Standard</w:t>
      </w:r>
    </w:p>
    <w:p>
      <w:pPr>
        <w:pBdr>
          <w:bottom w:val="single" w:color="0D7377" w:sz="6"/>
        </w:pBdr>
        <w:spacing w:after="160" w:before="0"/>
      </w:pPr>
    </w:p>
    <w:p>
      <w:pPr>
        <w:spacing w:after="140" w:before="100"/>
      </w:pPr>
      <w:r>
        <w:rPr>
          <w:rFonts w:ascii="Arial" w:cs="Arial" w:eastAsia="Arial" w:hAnsi="Arial"/>
          <w:i/>
          <w:iCs/>
          <w:color w:val="2C3E50"/>
          <w:sz w:val="24"/>
          <w:szCs w:val="24"/>
        </w:rPr>
        <w:t xml:space="preserve">Mālama does not replace Verra. It makes Verra’s job easier — and produces a higher-quality evidence bundle than any manual audit.</w:t>
      </w:r>
    </w:p>
    <w:p>
      <w:pPr>
        <w:spacing w:after="0" w:before="60"/>
      </w:pPr>
      <w:r>
        <w:t xml:space="preserve"/>
      </w:r>
    </w:p>
    <w:p>
      <w:pPr>
        <w:spacing w:after="100" w:before="80"/>
      </w:pPr>
      <w:r>
        <w:rPr>
          <w:rFonts w:ascii="Arial" w:cs="Arial" w:eastAsia="Arial" w:hAnsi="Arial"/>
          <w:color w:val="2C3E50"/>
          <w:sz w:val="22"/>
          <w:szCs w:val="22"/>
        </w:rPr>
        <w:t xml:space="preserve">The Verra API integration allows Mālama to submit “Proof-of-Journey” bundles directly to the registry. Each bundle contains:</w:t>
      </w:r>
    </w:p>
    <w:p>
      <w:pPr>
        <w:pStyle w:val="ListParagraph"/>
        <w:numPr>
          <w:ilvl w:val="0"/>
          <w:numId w:val="2"/>
        </w:numPr>
        <w:spacing w:after="60" w:before="60"/>
      </w:pPr>
      <w:r>
        <w:rPr>
          <w:rFonts w:ascii="Arial" w:cs="Arial" w:eastAsia="Arial" w:hAnsi="Arial"/>
          <w:color w:val="2C3E50"/>
          <w:sz w:val="22"/>
          <w:szCs w:val="22"/>
        </w:rPr>
        <w:t xml:space="preserve">IPFS CID (content-addressed, immutable): links to the full Merkle-structured dataset</w:t>
      </w:r>
    </w:p>
    <w:p>
      <w:pPr>
        <w:pStyle w:val="ListParagraph"/>
        <w:numPr>
          <w:ilvl w:val="0"/>
          <w:numId w:val="2"/>
        </w:numPr>
        <w:spacing w:after="60" w:before="60"/>
      </w:pPr>
      <w:r>
        <w:rPr>
          <w:rFonts w:ascii="Arial" w:cs="Arial" w:eastAsia="Arial" w:hAnsi="Arial"/>
          <w:color w:val="2C3E50"/>
          <w:sz w:val="22"/>
          <w:szCs w:val="22"/>
        </w:rPr>
        <w:t xml:space="preserve">On-chain transaction hashes from all four chains confirming Merkle root anchoring</w:t>
      </w:r>
    </w:p>
    <w:p>
      <w:pPr>
        <w:pStyle w:val="ListParagraph"/>
        <w:numPr>
          <w:ilvl w:val="0"/>
          <w:numId w:val="2"/>
        </w:numPr>
        <w:spacing w:after="60" w:before="60"/>
      </w:pPr>
      <w:r>
        <w:rPr>
          <w:rFonts w:ascii="Arial" w:cs="Arial" w:eastAsia="Arial" w:hAnsi="Arial"/>
          <w:color w:val="2C3E50"/>
          <w:sz w:val="22"/>
          <w:szCs w:val="22"/>
        </w:rPr>
        <w:t xml:space="preserve">AI confidence report with SHAP breakdown for every reading in the batch</w:t>
      </w:r>
    </w:p>
    <w:p>
      <w:pPr>
        <w:pStyle w:val="ListParagraph"/>
        <w:numPr>
          <w:ilvl w:val="0"/>
          <w:numId w:val="2"/>
        </w:numPr>
        <w:spacing w:after="60" w:before="60"/>
      </w:pPr>
      <w:r>
        <w:rPr>
          <w:rFonts w:ascii="Arial" w:cs="Arial" w:eastAsia="Arial" w:hAnsi="Arial"/>
          <w:color w:val="2C3E50"/>
          <w:sz w:val="22"/>
          <w:szCs w:val="22"/>
        </w:rPr>
        <w:t xml:space="preserve">Sensor DID document and full chain-of-custody provenance record</w:t>
      </w:r>
    </w:p>
    <w:p>
      <w:pPr>
        <w:pStyle w:val="ListParagraph"/>
        <w:numPr>
          <w:ilvl w:val="0"/>
          <w:numId w:val="2"/>
        </w:numPr>
        <w:spacing w:after="60" w:before="60"/>
      </w:pPr>
      <w:r>
        <w:rPr>
          <w:rFonts w:ascii="Arial" w:cs="Arial" w:eastAsia="Arial" w:hAnsi="Arial"/>
          <w:color w:val="2C3E50"/>
          <w:sz w:val="22"/>
          <w:szCs w:val="22"/>
        </w:rPr>
        <w:t xml:space="preserve">Validator signatures and quorum attestation</w:t>
      </w:r>
    </w:p>
    <w:p>
      <w:pPr>
        <w:spacing w:after="0" w:before="60"/>
      </w:pPr>
      <w:r>
        <w:t xml:space="preserve"/>
      </w:r>
    </w:p>
    <w:p>
      <w:pPr>
        <w:spacing w:after="100" w:before="80"/>
      </w:pPr>
      <w:r>
        <w:rPr>
          <w:rFonts w:ascii="Arial" w:cs="Arial" w:eastAsia="Arial" w:hAnsi="Arial"/>
          <w:color w:val="2C3E50"/>
          <w:sz w:val="22"/>
          <w:szCs w:val="22"/>
        </w:rPr>
        <w:t xml:space="preserve">Verra auditors receive a machine-readable evidence package that is: (1) cryptographically non-repudiable, (2) independently verifiable without Mālama’s participation, and (3) continuous rather than episodic. This is structurally stronger than any VVB site visit report.</w:t>
      </w:r>
    </w:p>
    <w:p>
      <w:pPr>
        <w:spacing w:after="0" w:before="60"/>
      </w:pPr>
      <w:r>
        <w:t xml:space="preserve"/>
      </w:r>
    </w:p>
    <w:p>
      <w:pPr>
        <w:spacing w:after="100" w:before="80"/>
      </w:pPr>
      <w:r>
        <w:rPr>
          <w:rFonts w:ascii="Arial" w:cs="Arial" w:eastAsia="Arial" w:hAnsi="Arial"/>
          <w:color w:val="2C3E50"/>
          <w:sz w:val="22"/>
          <w:szCs w:val="22"/>
        </w:rPr>
        <w:t xml:space="preserve">Gold Standard API integration is on the roadmap for H2 2026. The bundle format is compatible; registry-specific schema mapping is the only required adaptation.</w:t>
      </w:r>
    </w:p>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Current Build Status &amp; Roadmap</w:t>
      </w:r>
    </w:p>
    <w:p>
      <w:pPr>
        <w:pBdr>
          <w:bottom w:val="single" w:color="0D7377" w:sz="6"/>
        </w:pBdr>
        <w:spacing w:after="160" w:before="0"/>
      </w:pP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D5E8F0" w:sz="1"/>
              <w:left w:val="single" w:color="D5E8F0" w:sz="1"/>
              <w:bottom w:val="single" w:color="D5E8F0" w:sz="1"/>
              <w:right w:val="single" w:color="D5E8F0"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D5E8F0" w:sz="1"/>
              <w:left w:val="single" w:color="D5E8F0" w:sz="1"/>
              <w:bottom w:val="single" w:color="D5E8F0" w:sz="1"/>
              <w:right w:val="single" w:color="D5E8F0"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D5E8F0" w:sz="1"/>
              <w:left w:val="single" w:color="D5E8F0" w:sz="1"/>
              <w:bottom w:val="single" w:color="D5E8F0" w:sz="1"/>
              <w:right w:val="single" w:color="D5E8F0"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 1 – DID &amp; Identity</w:t>
            </w:r>
          </w:p>
        </w:tc>
        <w:tc>
          <w:tcPr>
            <w:tcW w:type="dxa" w:w="1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37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3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 2 – Merkle Batching &amp; Kafka</w:t>
            </w:r>
          </w:p>
        </w:tc>
        <w:tc>
          <w:tcPr>
            <w:tcW w:type="dxa" w:w="1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37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3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 3 – Validator Quorum</w:t>
            </w:r>
          </w:p>
        </w:tc>
        <w:tc>
          <w:tcPr>
            <w:tcW w:type="dxa" w:w="1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E67E22"/>
                <w:sz w:val="20"/>
                <w:szCs w:val="20"/>
              </w:rPr>
              <w:t xml:space="preserve">In Progress</w:t>
            </w:r>
          </w:p>
        </w:tc>
        <w:tc>
          <w:tcPr>
            <w:tcW w:type="dxa" w:w="37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3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 4 – Smart Contracts (4 chains)</w:t>
            </w:r>
          </w:p>
        </w:tc>
        <w:tc>
          <w:tcPr>
            <w:tcW w:type="dxa" w:w="1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Testnet</w:t>
            </w:r>
          </w:p>
        </w:tc>
        <w:tc>
          <w:tcPr>
            <w:tcW w:type="dxa" w:w="37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Cardano, BASE, HEDERA, CELO</w:t>
            </w:r>
          </w:p>
        </w:tc>
      </w:tr>
      <w:tr>
        <w:tc>
          <w:tcPr>
            <w:tcW w:type="dxa" w:w="3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 5 – Immutability &amp; Integrity</w:t>
            </w:r>
          </w:p>
        </w:tc>
        <w:tc>
          <w:tcPr>
            <w:tcW w:type="dxa" w:w="1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E67E22"/>
                <w:sz w:val="20"/>
                <w:szCs w:val="20"/>
              </w:rPr>
              <w:t xml:space="preserve">In Progress</w:t>
            </w:r>
          </w:p>
        </w:tc>
        <w:tc>
          <w:tcPr>
            <w:tcW w:type="dxa" w:w="37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3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 6 – LCO₂/VCO₂ Settlement Engine</w:t>
            </w:r>
          </w:p>
        </w:tc>
        <w:tc>
          <w:tcPr>
            <w:tcW w:type="dxa" w:w="1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In Progress</w:t>
            </w:r>
          </w:p>
        </w:tc>
        <w:tc>
          <w:tcPr>
            <w:tcW w:type="dxa" w:w="37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Confidence-gated minting live on testnet</w:t>
            </w:r>
          </w:p>
        </w:tc>
      </w:tr>
      <w:tr>
        <w:tc>
          <w:tcPr>
            <w:tcW w:type="dxa" w:w="3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 7 – Verra API + Dashboard</w:t>
            </w:r>
          </w:p>
        </w:tc>
        <w:tc>
          <w:tcPr>
            <w:tcW w:type="dxa" w:w="1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E67E22"/>
                <w:sz w:val="20"/>
                <w:szCs w:val="20"/>
              </w:rPr>
              <w:t xml:space="preserve">In Progress</w:t>
            </w:r>
          </w:p>
        </w:tc>
        <w:tc>
          <w:tcPr>
            <w:tcW w:type="dxa" w:w="37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Dashboard scaffolded; Verra integration underway</w:t>
            </w:r>
          </w:p>
        </w:tc>
      </w:tr>
      <w:tr>
        <w:tc>
          <w:tcPr>
            <w:tcW w:type="dxa" w:w="3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Idaho Biochar Pilot</w:t>
            </w:r>
          </w:p>
        </w:tc>
        <w:tc>
          <w:tcPr>
            <w:tcW w:type="dxa" w:w="180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Onboarding</w:t>
            </w:r>
          </w:p>
        </w:tc>
        <w:tc>
          <w:tcPr>
            <w:tcW w:type="dxa" w:w="3760"/>
            <w:tcBorders>
              <w:top w:val="single" w:color="D5E8F0" w:sz="1"/>
              <w:left w:val="single" w:color="D5E8F0" w:sz="1"/>
              <w:bottom w:val="single" w:color="D5E8F0" w:sz="1"/>
              <w:right w:val="single" w:color="D5E8F0"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 sensors; first real data pipeline run Q2 2026</w:t>
            </w:r>
          </w:p>
        </w:tc>
      </w:tr>
      <w:tr>
        <w:tc>
          <w:tcPr>
            <w:tcW w:type="dxa" w:w="3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Mainnet Launch</w:t>
            </w:r>
          </w:p>
        </w:tc>
        <w:tc>
          <w:tcPr>
            <w:tcW w:type="dxa" w:w="180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bCs/>
                <w:color w:val="2C3E50"/>
                <w:sz w:val="20"/>
                <w:szCs w:val="20"/>
              </w:rPr>
              <w:t xml:space="preserve">Target Q3 2026</w:t>
            </w:r>
          </w:p>
        </w:tc>
        <w:tc>
          <w:tcPr>
            <w:tcW w:type="dxa" w:w="3760"/>
            <w:tcBorders>
              <w:top w:val="single" w:color="D5E8F0" w:sz="1"/>
              <w:left w:val="single" w:color="D5E8F0" w:sz="1"/>
              <w:bottom w:val="single" w:color="D5E8F0" w:sz="1"/>
              <w:right w:val="single" w:color="D5E8F0" w:sz="1"/>
            </w:tcBorders>
            <w:shd w:fill="F0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bl>
    <w:p>
      <w:pPr>
        <w:spacing w:after="0" w:before="60"/>
      </w:pPr>
      <w:r>
        <w:t xml:space="preserve"/>
      </w:r>
    </w:p>
    <w:p>
      <w:pPr>
        <w:spacing w:after="160" w:before="60"/>
        <w:jc w:val="center"/>
      </w:pPr>
      <w:r>
        <w:rPr>
          <w:rFonts w:ascii="Arial" w:cs="Arial" w:eastAsia="Arial" w:hAnsi="Arial"/>
          <w:i/>
          <w:iCs/>
          <w:color w:val="7F8C8D"/>
          <w:sz w:val="18"/>
          <w:szCs w:val="18"/>
        </w:rPr>
        <w:t xml:space="preserve">Table 3: Protocol build status as of March 2026</w:t>
      </w:r>
    </w:p>
    <w:p>
      <w:pPr>
        <w:spacing w:after="0" w:before="80"/>
      </w:pPr>
      <w:r>
        <w:t xml:space="preserve"/>
      </w:r>
    </w:p>
    <w:p>
      <w:pPr>
        <w:pStyle w:val="Heading2"/>
        <w:spacing w:after="100" w:before="320"/>
      </w:pPr>
      <w:r>
        <w:rPr>
          <w:rFonts w:ascii="Arial" w:cs="Arial" w:eastAsia="Arial" w:hAnsi="Arial"/>
          <w:b/>
          <w:bCs/>
          <w:color w:val="0D7377"/>
          <w:sz w:val="26"/>
          <w:szCs w:val="26"/>
        </w:rPr>
        <w:t xml:space="preserve">Idaho City Biochar Farm — Pilot Details</w:t>
      </w:r>
    </w:p>
    <w:p>
      <w:pPr>
        <w:spacing w:after="100" w:before="80"/>
      </w:pPr>
      <w:r>
        <w:rPr>
          <w:rFonts w:ascii="Arial" w:cs="Arial" w:eastAsia="Arial" w:hAnsi="Arial"/>
          <w:color w:val="2C3E50"/>
          <w:sz w:val="22"/>
          <w:szCs w:val="22"/>
        </w:rPr>
        <w:t xml:space="preserve">The first production deployment is a biochar soil amendment project at Idaho City Biochar Farm, Boise County, Idaho (43.8°N, 115.9°W). Biochar carbon sequestration is a long-duration, permanent removal pathway with well-defined MRV requirements. Three sensors are being onboarded in Q1–2 2026, covering soil carbon concentration, temperature gradient, and moisture content. Pilot success criteria:</w:t>
      </w:r>
    </w:p>
    <w:p>
      <w:pPr>
        <w:pStyle w:val="ListParagraph"/>
        <w:numPr>
          <w:ilvl w:val="0"/>
          <w:numId w:val="2"/>
        </w:numPr>
        <w:spacing w:after="60" w:before="60"/>
      </w:pPr>
      <w:r>
        <w:rPr>
          <w:rFonts w:ascii="Arial" w:cs="Arial" w:eastAsia="Arial" w:hAnsi="Arial"/>
          <w:color w:val="2C3E50"/>
          <w:sz w:val="22"/>
          <w:szCs w:val="22"/>
        </w:rPr>
        <w:t xml:space="preserve">7 consecutive days of uninterrupted sensor data with Kafka lag &lt;60 seconds</w:t>
      </w:r>
    </w:p>
    <w:p>
      <w:pPr>
        <w:pStyle w:val="ListParagraph"/>
        <w:numPr>
          <w:ilvl w:val="0"/>
          <w:numId w:val="2"/>
        </w:numPr>
        <w:spacing w:after="60" w:before="60"/>
      </w:pPr>
      <w:r>
        <w:rPr>
          <w:rFonts w:ascii="Arial" w:cs="Arial" w:eastAsia="Arial" w:hAnsi="Arial"/>
          <w:color w:val="2C3E50"/>
          <w:sz w:val="22"/>
          <w:szCs w:val="22"/>
        </w:rPr>
        <w:t xml:space="preserve">AI confidence consistently &gt;82% on clean sensor readings</w:t>
      </w:r>
    </w:p>
    <w:p>
      <w:pPr>
        <w:pStyle w:val="ListParagraph"/>
        <w:numPr>
          <w:ilvl w:val="0"/>
          <w:numId w:val="2"/>
        </w:numPr>
        <w:spacing w:after="60" w:before="60"/>
      </w:pPr>
      <w:r>
        <w:rPr>
          <w:rFonts w:ascii="Arial" w:cs="Arial" w:eastAsia="Arial" w:hAnsi="Arial"/>
          <w:color w:val="2C3E50"/>
          <w:sz w:val="22"/>
          <w:szCs w:val="22"/>
        </w:rPr>
        <w:t xml:space="preserve">Verra Proof-of-Journey bundle accepted or actionable feedback received</w:t>
      </w:r>
    </w:p>
    <w:p>
      <w:pPr>
        <w:pStyle w:val="ListParagraph"/>
        <w:numPr>
          <w:ilvl w:val="0"/>
          <w:numId w:val="2"/>
        </w:numPr>
        <w:spacing w:after="60" w:before="60"/>
      </w:pPr>
      <w:r>
        <w:rPr>
          <w:rFonts w:ascii="Arial" w:cs="Arial" w:eastAsia="Arial" w:hAnsi="Arial"/>
          <w:color w:val="2C3E50"/>
          <w:sz w:val="22"/>
          <w:szCs w:val="22"/>
        </w:rPr>
        <w:t xml:space="preserve">Zero false-positive tampering detections on clean data</w:t>
      </w:r>
    </w:p>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Investment Thesis</w:t>
      </w:r>
    </w:p>
    <w:p>
      <w:pPr>
        <w:pBdr>
          <w:bottom w:val="single" w:color="0D7377" w:sz="6"/>
        </w:pBdr>
        <w:spacing w:after="160" w:before="0"/>
      </w:pPr>
    </w:p>
    <w:p>
      <w:pPr>
        <w:spacing w:after="140" w:before="100"/>
      </w:pPr>
      <w:r>
        <w:rPr>
          <w:rFonts w:ascii="Arial" w:cs="Arial" w:eastAsia="Arial" w:hAnsi="Arial"/>
          <w:i/>
          <w:iCs/>
          <w:color w:val="2C3E50"/>
          <w:sz w:val="24"/>
          <w:szCs w:val="24"/>
        </w:rPr>
        <w:t xml:space="preserve">The carbon market integrity problem is structural and market-wide. The first protocol to solve it at the infrastructure layer captures a durable position across every project type, registry, and buyer.</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Market Timing</w:t>
      </w:r>
    </w:p>
    <w:p>
      <w:pPr>
        <w:spacing w:after="100" w:before="80"/>
      </w:pPr>
      <w:r>
        <w:rPr>
          <w:rFonts w:ascii="Arial" w:cs="Arial" w:eastAsia="Arial" w:hAnsi="Arial"/>
          <w:color w:val="2C3E50"/>
          <w:sz w:val="22"/>
          <w:szCs w:val="22"/>
        </w:rPr>
        <w:t xml:space="preserve">Three forces are converging: (1) regulatory pressure (EU CBAM, SEC climate disclosure) is raising the bar for corporate carbon claims; (2) a wave of high-profile credit invalidations has created strong buyer demand for independently auditable credits; (3) the cost of continuous IoT + AI monitoring has dropped to the point where it is economically viable at project scale. The window to establish infrastructure-layer positioning is now.</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Competitive Moat</w:t>
      </w:r>
    </w:p>
    <w:p>
      <w:pPr>
        <w:spacing w:after="100" w:before="80"/>
      </w:pPr>
      <w:r>
        <w:rPr>
          <w:rFonts w:ascii="Arial" w:cs="Arial" w:eastAsia="Arial" w:hAnsi="Arial"/>
          <w:color w:val="2C3E50"/>
          <w:sz w:val="22"/>
          <w:szCs w:val="22"/>
        </w:rPr>
        <w:t xml:space="preserve">Mālama’s moat is not the AI model or the blockchain integration individually — it is the full-stack chain of custody that no incumbent provides. Existing players fall into two categories: (1) manual MRV auditors who cannot economically transition to continuous verification, and (2) blockchain carbon protocols (Toucan, KlimaDAO) that tokenize existing credits without improving the underlying data quality. Mālama attacks the problem at the data origin.</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Revenue Model</w:t>
      </w:r>
    </w:p>
    <w:p>
      <w:pPr>
        <w:pStyle w:val="ListParagraph"/>
        <w:numPr>
          <w:ilvl w:val="0"/>
          <w:numId w:val="2"/>
        </w:numPr>
        <w:spacing w:after="60" w:before="60"/>
      </w:pPr>
      <w:r>
        <w:rPr>
          <w:rFonts w:ascii="Arial" w:cs="Arial" w:eastAsia="Arial" w:hAnsi="Arial"/>
          <w:color w:val="2C3E50"/>
          <w:sz w:val="22"/>
          <w:szCs w:val="22"/>
        </w:rPr>
        <w:t xml:space="preserve">Protocol fee per LCO₂/VCO₂ token minted (basis points on issuance value)</w:t>
      </w:r>
    </w:p>
    <w:p>
      <w:pPr>
        <w:pStyle w:val="ListParagraph"/>
        <w:numPr>
          <w:ilvl w:val="0"/>
          <w:numId w:val="2"/>
        </w:numPr>
        <w:spacing w:after="60" w:before="60"/>
      </w:pPr>
      <w:r>
        <w:rPr>
          <w:rFonts w:ascii="Arial" w:cs="Arial" w:eastAsia="Arial" w:hAnsi="Arial"/>
          <w:color w:val="2C3E50"/>
          <w:sz w:val="22"/>
          <w:szCs w:val="22"/>
        </w:rPr>
        <w:t xml:space="preserve">SaaS licensing for project developers using the Mālama SDK and sensor onboarding tooling</w:t>
      </w:r>
    </w:p>
    <w:p>
      <w:pPr>
        <w:pStyle w:val="ListParagraph"/>
        <w:numPr>
          <w:ilvl w:val="0"/>
          <w:numId w:val="2"/>
        </w:numPr>
        <w:spacing w:after="60" w:before="60"/>
      </w:pPr>
      <w:r>
        <w:rPr>
          <w:rFonts w:ascii="Arial" w:cs="Arial" w:eastAsia="Arial" w:hAnsi="Arial"/>
          <w:color w:val="2C3E50"/>
          <w:sz w:val="22"/>
          <w:szCs w:val="22"/>
        </w:rPr>
        <w:t xml:space="preserve">Verification-as-a-service for registries and corporate buyers requiring independent audit bundles</w:t>
      </w:r>
    </w:p>
    <w:p>
      <w:pPr>
        <w:pStyle w:val="ListParagraph"/>
        <w:numPr>
          <w:ilvl w:val="0"/>
          <w:numId w:val="2"/>
        </w:numPr>
        <w:spacing w:after="60" w:before="60"/>
      </w:pPr>
      <w:r>
        <w:rPr>
          <w:rFonts w:ascii="Arial" w:cs="Arial" w:eastAsia="Arial" w:hAnsi="Arial"/>
          <w:color w:val="2C3E50"/>
          <w:sz w:val="22"/>
          <w:szCs w:val="22"/>
        </w:rPr>
        <w:t xml:space="preserve">API access for data consumers (analytics platforms, ESG data vendors, secondary market infrastructure)</w:t>
      </w:r>
    </w:p>
    <w:p>
      <w:pPr>
        <w:spacing w:after="0" w:before="60"/>
      </w:pPr>
      <w:r>
        <w:t xml:space="preserve"/>
      </w:r>
    </w:p>
    <w:p>
      <w:pPr>
        <w:pStyle w:val="Heading2"/>
        <w:spacing w:after="100" w:before="320"/>
      </w:pPr>
      <w:r>
        <w:rPr>
          <w:rFonts w:ascii="Arial" w:cs="Arial" w:eastAsia="Arial" w:hAnsi="Arial"/>
          <w:b/>
          <w:bCs/>
          <w:color w:val="0D7377"/>
          <w:sz w:val="26"/>
          <w:szCs w:val="26"/>
        </w:rPr>
        <w:t xml:space="preserve">What We’re Looking For</w:t>
      </w:r>
    </w:p>
    <w:p>
      <w:pPr>
        <w:spacing w:after="100" w:before="80"/>
      </w:pPr>
      <w:r>
        <w:rPr>
          <w:rFonts w:ascii="Arial" w:cs="Arial" w:eastAsia="Arial" w:hAnsi="Arial"/>
          <w:color w:val="2C3E50"/>
          <w:sz w:val="22"/>
          <w:szCs w:val="22"/>
        </w:rPr>
        <w:t xml:space="preserve">We are seeking investors who combine: capital allocation to climate infrastructure, technical sophistication to evaluate the protocol architecture, and network access to project developers, registries, or corporate carbon buyers. Ticket sizes from $250K to $2M. We are specifically not raising on a timeline — we are building the pilot to let the data speak.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8"/>
              <w:bottom w:val="single" w:color="0D7377" w:sz="1"/>
              <w:right w:val="none" w:color="FFFFFF" w:sz="0"/>
            </w:tcBorders>
            <w:shd w:fill="F0F6F7" w:val="clear"/>
            <w:tcMar>
              <w:top w:type="dxa" w:w="120"/>
              <w:left w:type="dxa" w:w="200"/>
              <w:bottom w:type="dxa" w:w="120"/>
              <w:right w:type="dxa" w:w="200"/>
            </w:tcMar>
          </w:tcPr>
          <w:p>
            <w:r>
              <w:rPr>
                <w:rFonts w:ascii="Arial" w:cs="Arial" w:eastAsia="Arial" w:hAnsi="Arial"/>
                <w:i/>
                <w:iCs/>
                <w:color w:val="2C3E50"/>
                <w:sz w:val="22"/>
                <w:szCs w:val="22"/>
              </w:rPr>
              <w:t xml:space="preserve">If you want to verify any claim in this document, the testnet contracts are live. The Merkle roots are on-chain. The code is in the repository. We’ve built this to be auditable by design.</w:t>
            </w:r>
          </w:p>
        </w:tc>
      </w:tr>
    </w:tbl>
    <w:p>
      <w:pPr>
        <w:spacing w:after="0" w:before="100"/>
      </w:pPr>
      <w:r>
        <w:t xml:space="preserve"/>
      </w:r>
    </w:p>
    <w:p>
      <w:r>
        <w:br w:type="page"/>
      </w:r>
    </w:p>
    <w:p>
      <w:pPr>
        <w:pStyle w:val="Heading1"/>
        <w:spacing w:after="120" w:before="400"/>
      </w:pPr>
      <w:r>
        <w:rPr>
          <w:rFonts w:ascii="Arial" w:cs="Arial" w:eastAsia="Arial" w:hAnsi="Arial"/>
          <w:b/>
          <w:bCs/>
          <w:color w:val="1E2D3D"/>
          <w:sz w:val="34"/>
          <w:szCs w:val="34"/>
        </w:rPr>
        <w:t xml:space="preserve">Risk Factors &amp; Mitigations</w:t>
      </w:r>
    </w:p>
    <w:p>
      <w:pPr>
        <w:pBdr>
          <w:bottom w:val="single" w:color="0D7377" w:sz="6"/>
        </w:pBdr>
        <w:spacing w:after="160" w:before="0"/>
      </w:pPr>
    </w:p>
    <w:p>
      <w:pPr>
        <w:spacing w:after="0" w:before="40"/>
      </w:pPr>
      <w:r>
        <w:t xml:space="preserve"/>
      </w:r>
    </w:p>
    <w:p>
      <w:pPr>
        <w:spacing w:after="60" w:before="200"/>
      </w:pPr>
      <w:r>
        <w:rPr>
          <w:rFonts w:ascii="Arial" w:cs="Arial" w:eastAsia="Arial" w:hAnsi="Arial"/>
          <w:b/>
          <w:bCs/>
          <w:color w:val="2C3E50"/>
          <w:sz w:val="22"/>
          <w:szCs w:val="22"/>
        </w:rPr>
        <w:t xml:space="preserve">Registry Acceptance Risk</w:t>
      </w:r>
    </w:p>
    <w:p>
      <w:pPr>
        <w:spacing w:after="100" w:before="80"/>
      </w:pPr>
      <w:r>
        <w:rPr>
          <w:rFonts w:ascii="Arial" w:cs="Arial" w:eastAsia="Arial" w:hAnsi="Arial"/>
          <w:color w:val="2C3E50"/>
          <w:sz w:val="22"/>
          <w:szCs w:val="22"/>
        </w:rPr>
        <w:t xml:space="preserve">Verra or Gold Standard may not accept the Proof-of-Journey format or may require modifications. Mitigation: We are building the Verra integration iteratively with direct API feedback loops from the pilot submission. The protocol is registry-agnostic — rejection by one registry does not block others. All evidence bundles are independently valuable regardless of registry acceptance.</w:t>
      </w:r>
    </w:p>
    <w:p>
      <w:pPr>
        <w:spacing w:after="0" w:before="40"/>
      </w:pPr>
      <w:r>
        <w:t xml:space="preserve"/>
      </w:r>
    </w:p>
    <w:p>
      <w:pPr>
        <w:spacing w:after="60" w:before="200"/>
      </w:pPr>
      <w:r>
        <w:rPr>
          <w:rFonts w:ascii="Arial" w:cs="Arial" w:eastAsia="Arial" w:hAnsi="Arial"/>
          <w:b/>
          <w:bCs/>
          <w:color w:val="2C3E50"/>
          <w:sz w:val="22"/>
          <w:szCs w:val="22"/>
        </w:rPr>
        <w:t xml:space="preserve">AI Model Accuracy Risk</w:t>
      </w:r>
    </w:p>
    <w:p>
      <w:pPr>
        <w:spacing w:after="100" w:before="80"/>
      </w:pPr>
      <w:r>
        <w:rPr>
          <w:rFonts w:ascii="Arial" w:cs="Arial" w:eastAsia="Arial" w:hAnsi="Arial"/>
          <w:color w:val="2C3E50"/>
          <w:sz w:val="22"/>
          <w:szCs w:val="22"/>
        </w:rPr>
        <w:t xml:space="preserve">XGBoost model trained on limited pilot data may underperform on novel sensor failure modes. Mitigation: SHAP explainability allows auditors to catch model errors before they propagate to credit issuance. The confidence threshold is tunable per deployment. Model retraining is triggered automatically when confidence score drift is detected.</w:t>
      </w:r>
    </w:p>
    <w:p>
      <w:pPr>
        <w:spacing w:after="0" w:before="40"/>
      </w:pPr>
      <w:r>
        <w:t xml:space="preserve"/>
      </w:r>
    </w:p>
    <w:p>
      <w:pPr>
        <w:spacing w:after="60" w:before="200"/>
      </w:pPr>
      <w:r>
        <w:rPr>
          <w:rFonts w:ascii="Arial" w:cs="Arial" w:eastAsia="Arial" w:hAnsi="Arial"/>
          <w:b/>
          <w:bCs/>
          <w:color w:val="2C3E50"/>
          <w:sz w:val="22"/>
          <w:szCs w:val="22"/>
        </w:rPr>
        <w:t xml:space="preserve">Smart Contract Security Risk</w:t>
      </w:r>
    </w:p>
    <w:p>
      <w:pPr>
        <w:spacing w:after="100" w:before="80"/>
      </w:pPr>
      <w:r>
        <w:rPr>
          <w:rFonts w:ascii="Arial" w:cs="Arial" w:eastAsia="Arial" w:hAnsi="Arial"/>
          <w:color w:val="2C3E50"/>
          <w:sz w:val="22"/>
          <w:szCs w:val="22"/>
        </w:rPr>
        <w:t xml:space="preserve">Smart contract bugs could enable unauthorized token minting or validator bypass. Mitigation: Testnet-only deployment until a formal security audit is complete (planned pre-mainnet). The 2-of-3 validator quorum prevents single-point exploits. Replay attack detection and nonce validation are implemented at the protocol level.</w:t>
      </w:r>
    </w:p>
    <w:p>
      <w:pPr>
        <w:spacing w:after="0" w:before="40"/>
      </w:pPr>
      <w:r>
        <w:t xml:space="preserve"/>
      </w:r>
    </w:p>
    <w:p>
      <w:pPr>
        <w:spacing w:after="60" w:before="200"/>
      </w:pPr>
      <w:r>
        <w:rPr>
          <w:rFonts w:ascii="Arial" w:cs="Arial" w:eastAsia="Arial" w:hAnsi="Arial"/>
          <w:b/>
          <w:bCs/>
          <w:color w:val="2C3E50"/>
          <w:sz w:val="22"/>
          <w:szCs w:val="22"/>
        </w:rPr>
        <w:t xml:space="preserve">Market Liquidity Risk</w:t>
      </w:r>
    </w:p>
    <w:p>
      <w:pPr>
        <w:spacing w:after="100" w:before="80"/>
      </w:pPr>
      <w:r>
        <w:rPr>
          <w:rFonts w:ascii="Arial" w:cs="Arial" w:eastAsia="Arial" w:hAnsi="Arial"/>
          <w:color w:val="2C3E50"/>
          <w:sz w:val="22"/>
          <w:szCs w:val="22"/>
        </w:rPr>
        <w:t xml:space="preserve">LCO₂/VCO₂ tokens require liquid secondary markets to be useful to buyers. Mitigation: Registry backing (VCO₂) provides a direct redemption path against Verra credits. Multi-chain settlement on BASE and CELO provides access to existing DeFi liquidity pools. Corporate buyer settlement does not require secondary market liquidity.</w:t>
      </w:r>
    </w:p>
    <w:p>
      <w:pPr>
        <w:spacing w:after="0" w:before="40"/>
      </w:pPr>
      <w:r>
        <w:t xml:space="preserve"/>
      </w:r>
    </w:p>
    <w:p>
      <w:pPr>
        <w:spacing w:after="60" w:before="200"/>
      </w:pPr>
      <w:r>
        <w:rPr>
          <w:rFonts w:ascii="Arial" w:cs="Arial" w:eastAsia="Arial" w:hAnsi="Arial"/>
          <w:b/>
          <w:bCs/>
          <w:color w:val="2C3E50"/>
          <w:sz w:val="22"/>
          <w:szCs w:val="22"/>
        </w:rPr>
        <w:t xml:space="preserve">Sensor Hardware Dependency</w:t>
      </w:r>
    </w:p>
    <w:p>
      <w:pPr>
        <w:spacing w:after="100" w:before="80"/>
      </w:pPr>
      <w:r>
        <w:rPr>
          <w:rFonts w:ascii="Arial" w:cs="Arial" w:eastAsia="Arial" w:hAnsi="Arial"/>
          <w:color w:val="2C3E50"/>
          <w:sz w:val="22"/>
          <w:szCs w:val="22"/>
        </w:rPr>
        <w:t xml:space="preserve">The protocol’s integrity guarantees depend on sensor hardware not being physically compromised. Mitigation: GPS location verification, DID-based sensor identity, and anomaly detection at the AI layer collectively make physical sensor spoofing economically impractical at scale. The protocol explicitly does not claim to prevent all physical attacks — it makes them detectable and attributable.</w:t>
      </w:r>
    </w:p>
    <w:p>
      <w:pPr>
        <w:spacing w:after="0" w:before="100"/>
      </w:pPr>
      <w:r>
        <w:t xml:space="preserve"/>
      </w:r>
    </w:p>
    <w:p>
      <w:pPr>
        <w:pStyle w:val="Heading1"/>
        <w:spacing w:after="120" w:before="400"/>
      </w:pPr>
      <w:r>
        <w:rPr>
          <w:rFonts w:ascii="Arial" w:cs="Arial" w:eastAsia="Arial" w:hAnsi="Arial"/>
          <w:b/>
          <w:bCs/>
          <w:color w:val="1E2D3D"/>
          <w:sz w:val="34"/>
          <w:szCs w:val="34"/>
        </w:rPr>
        <w:t xml:space="preserve">Contact &amp; Next Steps</w:t>
      </w:r>
    </w:p>
    <w:p>
      <w:pPr>
        <w:pBdr>
          <w:bottom w:val="single" w:color="0D7377" w:sz="6"/>
        </w:pBdr>
        <w:spacing w:after="160" w:before="0"/>
      </w:pPr>
    </w:p>
    <w:p>
      <w:pPr>
        <w:spacing w:after="0" w:before="40"/>
      </w:pPr>
      <w:r>
        <w:t xml:space="preserve"/>
      </w:r>
    </w:p>
    <w:p>
      <w:pPr>
        <w:spacing w:after="100" w:before="80"/>
      </w:pPr>
      <w:r>
        <w:rPr>
          <w:rFonts w:ascii="Arial" w:cs="Arial" w:eastAsia="Arial" w:hAnsi="Arial"/>
          <w:color w:val="2C3E50"/>
          <w:sz w:val="22"/>
          <w:szCs w:val="22"/>
        </w:rPr>
        <w:t xml:space="preserve">We are running a limited number of investor conversations in Q2 2026, timed to coincide with the completion of the Idaho pilot and initial Verra submission.</w:t>
      </w:r>
    </w:p>
    <w:p>
      <w:pPr>
        <w:spacing w:after="0" w:before="60"/>
      </w:pPr>
      <w:r>
        <w:t xml:space="preserve"/>
      </w:r>
    </w:p>
    <w:p>
      <w:pPr>
        <w:spacing w:after="60" w:before="60"/>
      </w:pPr>
      <w:r>
        <w:rPr>
          <w:rFonts w:ascii="Arial" w:cs="Arial" w:eastAsia="Arial" w:hAnsi="Arial"/>
          <w:b/>
          <w:bCs/>
          <w:color w:val="1E2D3D"/>
          <w:sz w:val="22"/>
          <w:szCs w:val="22"/>
        </w:rPr>
        <w:t xml:space="preserve">Tyler Malin, Founder</w:t>
      </w:r>
      <w:r>
        <w:rPr>
          <w:rFonts w:ascii="Arial" w:cs="Arial" w:eastAsia="Arial" w:hAnsi="Arial"/>
          <w:color w:val="7F8C8D"/>
          <w:sz w:val="22"/>
          <w:szCs w:val="22"/>
        </w:rPr>
        <w:t xml:space="preserve">  •  Mālama Protocol</w:t>
      </w:r>
    </w:p>
    <w:p>
      <w:pPr>
        <w:spacing w:after="20" w:before="20"/>
      </w:pPr>
      <w:r>
        <w:rPr>
          <w:rFonts w:ascii="Arial" w:cs="Arial" w:eastAsia="Arial" w:hAnsi="Arial"/>
          <w:color w:val="0D7377"/>
          <w:sz w:val="22"/>
          <w:szCs w:val="22"/>
        </w:rPr>
        <w:t xml:space="preserve">tyler@malamaproject.org</w:t>
      </w:r>
    </w:p>
    <w:p>
      <w:pPr>
        <w:spacing w:after="0" w:before="60"/>
      </w:pPr>
      <w:r>
        <w:t xml:space="preserve"/>
      </w:r>
    </w:p>
    <w:p>
      <w:pPr>
        <w:spacing w:after="100" w:before="80"/>
      </w:pPr>
      <w:r>
        <w:rPr>
          <w:rFonts w:ascii="Arial" w:cs="Arial" w:eastAsia="Arial" w:hAnsi="Arial"/>
          <w:color w:val="2C3E50"/>
          <w:sz w:val="22"/>
          <w:szCs w:val="22"/>
        </w:rPr>
        <w:t xml:space="preserve">To request a technical deep-dive, pilot data preview, or to schedule a call, please reach out directly. We are happy to share testnet contract addresses, live Merkle root verification links, and the full SDK repository under NDA.</w:t>
      </w:r>
    </w:p>
    <w:p>
      <w:pPr>
        <w:spacing w:after="0" w:before="40"/>
      </w:pPr>
      <w:r>
        <w:t xml:space="preserve"/>
      </w:r>
    </w:p>
    <w:p>
      <w:pPr>
        <w:pBdr>
          <w:top w:val="single" w:color="0D7377" w:sz="4"/>
        </w:pBdr>
        <w:spacing w:after="0" w:before="200"/>
      </w:pPr>
      <w:r>
        <w:rPr>
          <w:rFonts w:ascii="Arial" w:cs="Arial" w:eastAsia="Arial" w:hAnsi="Arial"/>
          <w:i/>
          <w:iCs/>
          <w:color w:val="7F8C8D"/>
          <w:sz w:val="18"/>
          <w:szCs w:val="18"/>
        </w:rPr>
        <w:t xml:space="preserve">This document is confidential and intended solely for the named recipient. Do not distribute without written permission from Mālama Protocol.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pBdr>
      <w:tabs>
        <w:tab w:val="right" w:pos="9026"/>
      </w:tabs>
      <w:spacing w:after="0" w:before="100"/>
    </w:pPr>
    <w:r>
      <w:rPr>
        <w:rFonts w:ascii="Arial" w:cs="Arial" w:eastAsia="Arial" w:hAnsi="Arial"/>
        <w:color w:val="7F8C8D"/>
        <w:sz w:val="18"/>
        <w:szCs w:val="18"/>
      </w:rPr>
      <w:t xml:space="preserve">tyler@malamaproject.org</w:t>
    </w:r>
    <w:r>
      <w:rPr>
        <w:rFonts w:ascii="Arial" w:cs="Arial" w:eastAsia="Arial" w:hAnsi="Arial"/>
        <w:sz w:val="18"/>
        <w:szCs w:val="18"/>
      </w:rPr>
      <w:t xml:space="preserve">	</w:t>
    </w: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026"/>
      </w:tabs>
      <w:spacing w:after="100" w:before="0"/>
    </w:pPr>
    <w:r>
      <w:rPr>
        <w:rFonts w:ascii="Arial" w:cs="Arial" w:eastAsia="Arial" w:hAnsi="Arial"/>
        <w:b/>
        <w:bCs/>
        <w:color w:val="0D7377"/>
        <w:sz w:val="18"/>
        <w:szCs w:val="18"/>
      </w:rPr>
      <w:t xml:space="preserve">Mālama Protocol</w:t>
    </w:r>
    <w:r>
      <w:rPr>
        <w:rFonts w:ascii="Arial" w:cs="Arial" w:eastAsia="Arial" w:hAnsi="Arial"/>
        <w:sz w:val="18"/>
        <w:szCs w:val="18"/>
      </w:rPr>
      <w:t xml:space="preserve">	</w:t>
    </w:r>
    <w:r>
      <w:rPr>
        <w:rFonts w:ascii="Arial" w:cs="Arial" w:eastAsia="Arial" w:hAnsi="Arial"/>
        <w:color w:val="7F8C8D"/>
        <w:sz w:val="18"/>
        <w:szCs w:val="18"/>
      </w:rPr>
      <w:t xml:space="preserve">Confidential Technical Brief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2D3D"/>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2026-03-20T07:06:21.073Z</dcterms:created>
  <dcterms:modified xsi:type="dcterms:W3CDTF">2026-03-20T07:06:21.073Z</dcterms:modified>
</cp:coreProperties>
</file>

<file path=docProps/custom.xml><?xml version="1.0" encoding="utf-8"?>
<Properties xmlns="http://schemas.openxmlformats.org/officeDocument/2006/custom-properties" xmlns:vt="http://schemas.openxmlformats.org/officeDocument/2006/docPropsVTypes"/>
</file>