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 xml:space="preserve">Quarterly Report</w:t>
      </w:r>
    </w:p>
    <w:p>
      <w:r>
        <w:rPr>
          <w:i/>
          <w:color w:val="6B6F7A"/>
        </w:rPr>
        <w:t xml:space="preserve">Prepared by the Finance Team, March 2026</w:t>
      </w:r>
    </w:p>
    <w:p>
      <w:r>
        <w:t xml:space="preserve">Revenue grew to </w:t>
      </w:r>
      <w:r>
        <w:rPr>
          <w:b/>
        </w:rPr>
        <w:t xml:space="preserve">$4.2 million</w:t>
      </w:r>
      <w:r>
        <w:rPr>
          <w:rStyle w:val="Emphasis"/>
        </w:rPr>
        <w:t xml:space="preserve"> (a record)</w:t>
      </w:r>
      <w:r>
        <w:t xml:space="preserve"> this quarter, driven by strong demand in the </w:t>
      </w:r>
      <w:r>
        <w:rPr>
          <w:u w:val="single"/>
        </w:rPr>
        <w:t xml:space="preserve">northern region</w:t>
      </w:r>
      <w:r>
        <w:t xml:space="preserve">.</w:t>
      </w:r>
    </w:p>
    <w:p>
      <w:pPr>
        <w:pStyle w:val="Heading2"/>
      </w:pPr>
      <w:r>
        <w:t xml:space="preserve">Highlights</w:t>
      </w:r>
    </w:p>
    <w:p>
      <w:pPr>
        <w:numPr>
          <w:ilvl w:val="0"/>
          <w:numId w:val="1"/>
        </w:numPr>
      </w:pPr>
      <w:r>
        <w:t xml:space="preserve">Record revenue in the northern region</w:t>
      </w:r>
    </w:p>
    <w:p>
      <w:pPr>
        <w:numPr>
          <w:ilvl w:val="0"/>
          <w:numId w:val="1"/>
        </w:numPr>
      </w:pPr>
      <w:r>
        <w:t xml:space="preserve">Two new distribution partners</w:t>
      </w:r>
    </w:p>
    <w:p>
      <w:pPr>
        <w:numPr>
          <w:ilvl w:val="0"/>
          <w:numId w:val="1"/>
        </w:numPr>
      </w:pPr>
      <w:r>
        <w:t xml:space="preserve">Costs held flat year on year</w:t>
      </w:r>
    </w:p>
    <w:p>
      <w:pPr>
        <w:numPr>
          <w:ilvl w:val="1"/>
          <w:numId w:val="1"/>
        </w:numPr>
      </w:pPr>
      <w:r>
        <w:t xml:space="preserve">Nested detail under the last point</w:t>
      </w:r>
    </w:p>
    <w:p>
      <w:pPr>
        <w:pStyle w:val="Heading2"/>
      </w:pPr>
      <w:r>
        <w:t xml:space="preserve">Next steps</w:t>
      </w:r>
    </w:p>
    <w:p>
      <w:pPr>
        <w:numPr>
          <w:ilvl w:val="0"/>
          <w:numId w:val="2"/>
        </w:numPr>
      </w:pPr>
      <w:r>
        <w:t xml:space="preserve">Confirm the Q3 forecast</w:t>
      </w:r>
    </w:p>
    <w:p>
      <w:pPr>
        <w:numPr>
          <w:ilvl w:val="0"/>
          <w:numId w:val="2"/>
        </w:numPr>
      </w:pPr>
      <w:r>
        <w:t xml:space="preserve">Renew the distribution contracts</w:t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600"/>
        <w:gridCol w:w="2400"/>
        <w:gridCol w:w="2400"/>
      </w:tblGrid>
      <w:tr>
        <w:tc>
          <w:tcPr>
            <w:tcW w:w="2880" w:type="dxa"/>
            <w:shd w:val="clear" w:fill="D9E2F3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2880" w:type="dxa"/>
            <w:shd w:val="clear" w:fill="D9E2F3"/>
          </w:tcPr>
          <w:p>
            <w:r>
              <w:rPr>
                <w:b/>
              </w:rPr>
              <w:t xml:space="preserve">Sales</w:t>
            </w:r>
          </w:p>
        </w:tc>
        <w:tc>
          <w:tcPr>
            <w:tcW w:w="2880" w:type="dxa"/>
            <w:shd w:val="clear" w:fill="D9E2F3"/>
          </w:tcPr>
          <w:p>
            <w:r>
              <w:rPr>
                <w:b/>
              </w:rPr>
              <w:t xml:space="preserve">Change</w:t>
            </w:r>
          </w:p>
        </w:tc>
      </w:tr>
      <w:tr>
        <w:tc>
          <w:tcPr>
            <w:tcW w:w="2880" w:type="dxa"/>
          </w:tcPr>
          <w:p>
            <w:r>
              <w:t xml:space="preserve">North</w:t>
            </w:r>
          </w:p>
        </w:tc>
        <w:tc>
          <w:tcPr>
            <w:tcW w:w="2880" w:type="dxa"/>
          </w:tcPr>
          <w:p>
            <w:r>
              <w:t xml:space="preserve">1,240</w:t>
            </w:r>
          </w:p>
        </w:tc>
        <w:tc>
          <w:tcPr>
            <w:tcW w:w="2880" w:type="dxa"/>
          </w:tcPr>
          <w:p>
            <w:r>
              <w:t xml:space="preserve">+12%</w:t>
            </w:r>
          </w:p>
        </w:tc>
      </w:tr>
      <w:tr>
        <w:tc>
          <w:tcPr>
            <w:tcW w:w="2880" w:type="dxa"/>
          </w:tcPr>
          <w:p>
            <w:r>
              <w:t xml:space="preserve">South</w:t>
            </w:r>
          </w:p>
        </w:tc>
        <w:tc>
          <w:tcPr>
            <w:tcW w:w="2880" w:type="dxa"/>
          </w:tcPr>
          <w:p>
            <w:r>
              <w:t xml:space="preserve">980</w:t>
            </w:r>
          </w:p>
        </w:tc>
        <w:tc>
          <w:tcPr>
            <w:tcW w:w="2880" w:type="dxa"/>
          </w:tcPr>
          <w:p>
            <w:r>
              <w:t xml:space="preserve">-3%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524000" cy="8572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tch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Centred caption</w:t>
      </w:r>
    </w:p>
    <w:p>
      <w:r>
        <w:t xml:space="preserve">See </w:t>
      </w:r>
      <w:hyperlink r:id="rId6">
        <w:r>
          <w:rPr>
            <w:color w:val="0563C1"/>
            <w:u w:val="single"/>
          </w:rPr>
          <w:t>the full report</w:t>
        </w:r>
      </w:hyperlink>
      <w:r>
        <w:t xml:space="preserve"> for details.</w:t>
      </w:r>
      <w:r>
        <w:footnoteReference w:id="2"/>
      </w:r>
    </w:p>
    <w:p>
      <w:pPr>
        <w:spacing w:before="240" w:after="240"/>
        <w:ind w:left="720"/>
      </w:pPr>
      <w:r>
        <w:t xml:space="preserve">An indented paragraph with generous spacing, to check w:ind and w:spacing come across.</w:t>
      </w:r>
    </w:p>
    <w:p>
      <w:pPr>
        <w:pStyle w:val="Caption"/>
      </w:pPr>
      <w:r>
        <w:t xml:space="preserve">Small capitals</w:t>
      </w:r>
    </w:p>
    <w:p>
      <w:pPr>
        <w:pageBreakBefore/>
      </w:pPr>
      <w:r>
        <w:t xml:space="preserve">This paragraph starts a new page.</w:t>
      </w:r>
    </w:p>
    <w:p>
      <w:pPr>
        <w:jc w:val="right"/>
      </w:pPr>
      <w:r>
        <w:rPr>
          <w:sz w:val="22"/>
        </w:rPr>
        <w:t xml:space="preserve">Right aligned closing line</w:t>
      </w:r>
    </w:p>
    <w:sectPr>
      <w:pgSz w:w="12240" w:h="15840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id="2">
    <w:p>
      <w:r>
        <w:t>Figures are unaudited.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  <w:lvl w:ilvl="1">
      <w:numFmt w:val="bullet"/>
      <w:lvlText w:val="o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rFonts w:ascii="Calibri Light" w:hAnsi="Calibri Light"/>
      <w:color w:val="2F5496"/>
      <w:sz w:val="32"/>
    </w:rPr>
  </w:style>
  <w:style w:type="character" w:styleId="Emphasis">
    <w:name w:val="Emphasis"/>
    <w:rPr>
      <w:i/>
      <w:color w:val="C00000"/>
    </w:rPr>
  </w:style>
  <w:style w:type="paragraph" w:styleId="Caption">
    <w:basedOn w:val="Heading2"/>
    <w:name w:val="caption"/>
    <w:rPr>
      <w:smallCaps/>
      <w:sz w:val="20"/>
    </w:rPr>
  </w:style>
  <w:style w:type="paragraph" w:styleId="Heading2">
    <w:name w:val="heading 2"/>
    <w:pPr>
      <w:outlineLvl w:val="1"/>
    </w:pPr>
    <w:rPr>
      <w:rFonts w:ascii="Calibri Light" w:hAnsi="Calibri Light"/>
      <w:color w:val="2F5496"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5" Type="http://schemas.openxmlformats.org/officeDocument/2006/relationships/image" Target="media/swatch.png"/><Relationship Id="rId6" Type="http://schemas.openxmlformats.org/officeDocument/2006/relationships/hyperlink" Target="https://example.com/report" TargetMode="External"/></Relationships>
</file>