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</w:p>
    <w:p>
      <w:pPr>
        <w:spacing w:after="120" w:before="120"/>
        <w:jc w:val="center"/>
      </w:pPr>
      <w:r>
        <w:drawing>
          <wp:inline distT="0" distB="0" distL="0" distR="0">
            <wp:extent cx="4000500" cy="800100"/>
            <wp:effectExtent t="0" r="0" b="0" l="0"/>
            <wp:docPr id="1" name="Canvara primary logo" descr="Canvara primary logo" title="Canvara primar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C8973A"/>
          <w:sz w:val="32"/>
          <w:szCs w:val="32"/>
        </w:rPr>
        <w:t xml:space="preserve">Brand Style Guide</w:t>
      </w:r>
    </w:p>
    <w:p>
      <w:pPr>
        <w:pBdr>
          <w:bottom w:val="single" w:color="C8973A" w:sz="6" w:space="4"/>
        </w:pBdr>
        <w:spacing w:after="16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88780"/>
          <w:sz w:val="24"/>
          <w:szCs w:val="24"/>
        </w:rPr>
        <w:t xml:space="preserve">Canvassing Intelligence Platform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D3D1C7"/>
          <w:sz w:val="20"/>
          <w:szCs w:val="20"/>
        </w:rPr>
        <w:t xml:space="preserve">Version 1.0  ·  April 2026  ·  Confidential</w:t>
      </w:r>
    </w:p>
    <w:p>
      <w:pPr>
        <w:spacing w:after="0"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A4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5D4F4"/>
                <w:sz w:val="22"/>
                <w:szCs w:val="22"/>
              </w:rPr>
              <w:t xml:space="preserve">This guide governs how the Canvara brand is presented across all surfaces — digital, print, and in the field. Consistency builds trust. Trust builds campaigns.</w:t>
            </w:r>
          </w:p>
        </w:tc>
      </w:tr>
    </w:tbl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0F2A4A"/>
          <w:sz w:val="40"/>
          <w:szCs w:val="40"/>
        </w:rPr>
        <w:t xml:space="preserve">1. Brand foundation</w:t>
      </w:r>
    </w:p>
    <w:p>
      <w:pPr>
        <w:pBdr>
          <w:bottom w:val="single" w:color="C8973A" w:sz="6" w:space="4"/>
        </w:pBdr>
        <w:spacing w:after="160" w:before="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2A4A"/>
          <w:sz w:val="26"/>
          <w:szCs w:val="26"/>
        </w:rPr>
        <w:t xml:space="preserve">Mission</w:t>
      </w:r>
    </w:p>
    <w:p>
      <w:pPr>
        <w:spacing w:after="8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Canvara gives campaigns the intelligence to listen at scale, understand what moves voters, and reach the right person with the right message at the right moment.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2A4A"/>
          <w:sz w:val="26"/>
          <w:szCs w:val="26"/>
        </w:rPr>
        <w:t xml:space="preserve">Brand personality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Authoritative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We handle serious political work. The brand speaks with confidence and precision.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Intelligent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Data-driven, analytical, methodical. We surface insight from noise.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Nonpartisan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We serve any campaign. The brand is never ideological in tone or color.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Field-native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Built for people who are actually out there talking to voters — not just strategists in offices.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Trustworthy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Campaigns share their most sensitive data with us. Every brand choice reinforces reliability.</w:t>
            </w:r>
          </w:p>
        </w:tc>
      </w:tr>
    </w:tbl>
    <w:p>
      <w:pPr>
        <w:spacing w:after="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2A4A"/>
          <w:sz w:val="26"/>
          <w:szCs w:val="26"/>
        </w:rPr>
        <w:t xml:space="preserve">Voice and tone</w:t>
      </w:r>
    </w:p>
    <w:p>
      <w:pPr>
        <w:spacing w:after="8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Canvara communicates with the directness of a seasoned field director and the precision of a data analyst. Never corporate-speak. Never partisan. Never cute.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Direct: "Your canvassers knocked 247 doors today."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Vague: "Great engagement across the district today!"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Data-forward: "Education is the top issue in Precinct 14 this week."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Partisan: any language that reads as Dem or Rep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Action-oriented: "Approve this message — it goes to 3,400 voters."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Overclaiming: "Revolutionary AI will win your election"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Plain English always — no jargon the canvasser would not understand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Tech-bro: "Leverage synergies to optimize outreach velocity"</w:t>
            </w:r>
          </w:p>
        </w:tc>
      </w:tr>
    </w:tbl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0F2A4A"/>
          <w:sz w:val="40"/>
          <w:szCs w:val="40"/>
        </w:rPr>
        <w:t xml:space="preserve">2. The logo</w:t>
      </w:r>
    </w:p>
    <w:p>
      <w:pPr>
        <w:pBdr>
          <w:bottom w:val="single" w:color="C8973A" w:sz="6" w:space="4"/>
        </w:pBdr>
        <w:spacing w:after="160" w:before="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2A4A"/>
          <w:sz w:val="26"/>
          <w:szCs w:val="26"/>
        </w:rPr>
        <w:t xml:space="preserve">The mark</w:t>
      </w:r>
    </w:p>
    <w:p>
      <w:pPr>
        <w:spacing w:after="8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The Canvara mark is a bold C-arc with two gold endpoint dots. The arc traces the path a canvasser walks through a neighborhood. The open right side suggests forward momentum and open dialogue. The two gold dots represent the points of contact — where the canvasser starts and where the conversation lands. Clean, geometric, scalable from a 32px favicon to a printed banner.</w:t>
      </w:r>
    </w:p>
    <w:p>
      <w:pPr>
        <w:spacing w:after="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2A4A"/>
          <w:sz w:val="26"/>
          <w:szCs w:val="26"/>
        </w:rPr>
        <w:t xml:space="preserve">Primary logo — light background</w:t>
      </w:r>
    </w:p>
    <w:p>
      <w:pPr>
        <w:spacing w:after="120" w:before="120"/>
        <w:jc w:val="left"/>
      </w:pPr>
      <w:r>
        <w:drawing>
          <wp:inline distT="0" distB="0" distL="0" distR="0">
            <wp:extent cx="4572000" cy="914400"/>
            <wp:effectExtent t="0" r="0" b="0" l="0"/>
            <wp:docPr id="1" name="Canvara primary logo on stone background" descr="Canvara primary logo on stone background" title="Canvara primary logo on ston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Primary lockup: icon + wordmark + tagline. Use on documents, presentations, website headers, and print materials on light backgrounds.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2A4A"/>
          <w:sz w:val="26"/>
          <w:szCs w:val="26"/>
        </w:rPr>
        <w:t xml:space="preserve">Primary logo — dark background</w:t>
      </w:r>
    </w:p>
    <w:p>
      <w:pPr>
        <w:spacing w:after="120" w:before="120"/>
        <w:jc w:val="left"/>
      </w:pPr>
      <w:r>
        <w:drawing>
          <wp:inline distT="0" distB="0" distL="0" distR="0">
            <wp:extent cx="4572000" cy="914400"/>
            <wp:effectExtent t="0" r="0" b="0" l="0"/>
            <wp:docPr id="1" name="Canvara primary logo on navy background" descr="Canvara primary logo on navy background" title="Canvara primary logo on navy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Dark lockup: Use on navy backgrounds, email headers, dark-mode UI, and campaign swag.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2A4A"/>
          <w:sz w:val="26"/>
          <w:szCs w:val="26"/>
        </w:rPr>
        <w:t xml:space="preserve">Horizontal lockup</w:t>
      </w:r>
    </w:p>
    <w:p>
      <w:pPr>
        <w:spacing w:after="120" w:before="120"/>
        <w:jc w:val="left"/>
      </w:pPr>
      <w:r>
        <w:drawing>
          <wp:inline distT="0" distB="0" distL="0" distR="0">
            <wp:extent cx="3810000" cy="609600"/>
            <wp:effectExtent t="0" r="0" b="0" l="0"/>
            <wp:docPr id="1" name="Canvara horizontal lockup" descr="Canvara horizontal lockup" title="Canvara horizontal l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Horizontal lockup: Use in app headers, email banners, and tight horizontal spaces. Wordmark right of icon — never stacked in this variant.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2A4A"/>
          <w:sz w:val="26"/>
          <w:szCs w:val="26"/>
        </w:rPr>
        <w:t xml:space="preserve">Icon mark variants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Canvara icon on navy" descr="Canvara icon on navy" title="Canvara icon on nav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On navy — primary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Canvara icon on gold" descr="Canvara icon on gold" title="Canvara icon on go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On gold — accent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Icon-only mark for app icons, favicons, social avatars, and badge applications. Minimum size: 32px digital / 0.5 in. print.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2A4A"/>
          <w:sz w:val="26"/>
          <w:szCs w:val="26"/>
        </w:rPr>
        <w:t xml:space="preserve">Logo construction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Icon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Bold C-arc with rounded caps. Two gold endpoint dots at arc tips. Soft centered dot in white at 35% opacity. Set in a rounded-square badge.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Wordmark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CANVARA in tracked serif capitals (Georgia or equivalent). Letter-spacing 5–6pt. Never set in sans-serif.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Tagline lockup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CANVASSING INTELLIGENCE in small tracked sans-serif (Arial, 11–13pt, letter-spacing 2.5–3pt) beneath wordmark. Slate blue color.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Clear space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Minimum clear space = height of the icon mark on all four sides of the complete lockup.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Minimum size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32px icon for digital. 0.5 inch icon height for print. Never smaller — the arc detail is lost below this threshold.</w:t>
            </w:r>
          </w:p>
        </w:tc>
      </w:tr>
    </w:tbl>
    <w:p>
      <w:pPr>
        <w:spacing w:after="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2A4A"/>
          <w:sz w:val="26"/>
          <w:szCs w:val="26"/>
        </w:rPr>
        <w:t xml:space="preserve">Logo misuse — never do this</w:t>
      </w:r>
    </w:p>
    <w:p>
      <w:pPr>
        <w:spacing w:after="0" w:before="60"/>
      </w:pPr>
    </w:p>
    <w:p>
      <w:pPr>
        <w:spacing w:after="120" w:before="120"/>
        <w:jc w:val="left"/>
      </w:pPr>
      <w:r>
        <w:drawing>
          <wp:inline distT="0" distB="0" distL="0" distR="0">
            <wp:extent cx="5334000" cy="838200"/>
            <wp:effectExtent t="0" r="0" b="0" l="0"/>
            <wp:docPr id="1" name="Logo misuse examples" descr="Logo misuse examples" title="Logo misuse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Never stretch, rotate, recolor, add effects, or place on red or low-contrast backgrounds.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Use approved SVG, PNG (transparent), or PDF files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Stretch, skew, or rotate any element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Maintain proportions — scale uniformly only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Recreate or redraw the arc from scratch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Keep gold dots always #C8973A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Change any colors in the logo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Use on navy, white, stone, or gold backgrounds only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Add drop shadows, outlines, or glow effects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Maintain clear space on all sides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Place on red backgrounds (partisan signal)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Use low-resolution rasters for print</w:t>
            </w:r>
          </w:p>
        </w:tc>
      </w:tr>
    </w:tbl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0F2A4A"/>
          <w:sz w:val="40"/>
          <w:szCs w:val="40"/>
        </w:rPr>
        <w:t xml:space="preserve">3. Color system</w:t>
      </w:r>
    </w:p>
    <w:p>
      <w:pPr>
        <w:pBdr>
          <w:bottom w:val="single" w:color="C8973A" w:sz="6" w:space="4"/>
        </w:pBdr>
        <w:spacing w:after="160" w:before="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2A4A"/>
          <w:sz w:val="26"/>
          <w:szCs w:val="26"/>
        </w:rPr>
        <w:t xml:space="preserve">Primary and secondary palette</w:t>
      </w:r>
    </w:p>
    <w:p>
      <w:pPr>
        <w:spacing w:after="8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Canvara's palette is built on authority and trust. Navy is the foundation — it carries weight and seriousness. Gold is the signal: used sparingly for emphasis, calls to action, and the brand mark's key touchpoints. White and Stone provide breathing room.</w:t>
      </w:r>
    </w:p>
    <w:p>
      <w:pPr>
        <w:spacing w:after="0" w:before="100"/>
      </w:pPr>
    </w:p>
    <w:p>
      <w:pPr>
        <w:spacing w:after="120" w:before="120"/>
        <w:jc w:val="left"/>
      </w:pPr>
      <w:r>
        <w:drawing>
          <wp:inline distT="0" distB="0" distL="0" distR="0">
            <wp:extent cx="5334000" cy="590550"/>
            <wp:effectExtent t="0" r="0" b="0" l="0"/>
            <wp:docPr id="1" name="Canvara color palette swatches" descr="Canvara color palette swatches" title="Canvara color palette swatch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Canvara Navy  #0F2A4A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Primary background, headlines, icon badge, dark surfaces. RGB 15, 42, 74.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Canvara Gold  #C8973A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Accent, signal dots, CTA buttons, emphasis. Use sparingly. RGB 200, 151, 58.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White  #FFFFFF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Primary text on dark, clean space, light-mode surfaces. RGB 255, 255, 255.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Stone  #F5F4F0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Page backgrounds, card fills, document surfaces. RGB 245, 244, 240.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Ink  #0F1923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Body text on light backgrounds. Deeper than navy for readability. RGB 15, 25, 35.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Slate  #888780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Captions, metadata, secondary text, tagline color. RGB 136, 135, 128.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Navy Light  #1E3A5A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Hover states, icon badge inner color on dark. RGB 30, 58, 90.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Rule  #D3D1C7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Dividers, borders, card strokes. RGB 211, 209, 199.</w:t>
            </w:r>
          </w:p>
        </w:tc>
      </w:tr>
    </w:tbl>
    <w:p>
      <w:pPr>
        <w:spacing w:after="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2A4A"/>
          <w:sz w:val="26"/>
          <w:szCs w:val="26"/>
        </w:rPr>
        <w:t xml:space="preserve">Color usage rules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Use Navy as the primary brand color in all marketing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Use Gold as a background for large areas of text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Use Gold sparingly — one or two uses per surface maximum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Mix Navy and Gold in equal proportions — Gold is always the accent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Ensure 4.5:1 minimum contrast ratio for all body text (WCAG AA)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Use red or blue in brand contexts (partisan signal risk)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White text on Navy. Navy or Ink text on White or Stone.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Use gradients — the brand is flat and authoritative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Always use exact hex values — never approximate brand colors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Use off-brand colors like purple, green, or teal in primary contexts</w:t>
            </w:r>
          </w:p>
        </w:tc>
      </w:tr>
    </w:tbl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0F2A4A"/>
          <w:sz w:val="40"/>
          <w:szCs w:val="40"/>
        </w:rPr>
        <w:t xml:space="preserve">4. Typography</w:t>
      </w:r>
    </w:p>
    <w:p>
      <w:pPr>
        <w:pBdr>
          <w:bottom w:val="single" w:color="C8973A" w:sz="6" w:space="4"/>
        </w:pBdr>
        <w:spacing w:after="160" w:before="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2A4A"/>
          <w:sz w:val="26"/>
          <w:szCs w:val="26"/>
        </w:rPr>
        <w:t xml:space="preserve">Type system</w:t>
      </w:r>
    </w:p>
    <w:p>
      <w:pPr>
        <w:spacing w:after="80" w:before="60"/>
      </w:pPr>
      <w:r>
        <w:rPr>
          <w:rFonts w:ascii="Arial" w:cs="Arial" w:eastAsia="Arial" w:hAnsi="Arial"/>
          <w:color w:val="0F1923"/>
          <w:sz w:val="22"/>
          <w:szCs w:val="22"/>
        </w:rPr>
        <w:t xml:space="preserve">Canvara uses a two-family type system: a classical serif for headlines and the wordmark, and a clean geometric sans for body and UI. The pairing creates authoritative-but-accessible communications — the serif conveys permanence and credibility, the sans ensures clarity and efficiency.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Display / Wordmark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Georgia Bold — tracked uppercase, letter-spacing 5–6pt. Navy only. Never set the wordmark in sans-serif.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Headline (H1)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Georgia Bold, 36–48pt. Report titles, section headers in documents.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Headline (H2)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Georgia Bold or Arial Bold, 24–32pt. Section breaks, slide titles.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Subhead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Arial Bold, 14–18pt. Letter-spacing 0.05em. Navy or Ink.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Body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Arial Regular, 11–12pt. Ink (#0F1923). Line-height 1.7. Never serif for body.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Caption / Meta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Arial Regular, 9–10pt. Slate (#888780). Letter-spacing 0.03em.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UI labels / badges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Arial Medium, 10–12pt. All-caps with 0.08em tracking. Used for tags, status labels, section labels.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Data / IDs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Courier New or system mono. Voter IDs, support scores, stats, code references.</w:t>
            </w:r>
          </w:p>
        </w:tc>
      </w:tr>
    </w:tbl>
    <w:p>
      <w:pPr>
        <w:spacing w:after="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2A4A"/>
          <w:sz w:val="26"/>
          <w:szCs w:val="26"/>
        </w:rPr>
        <w:t xml:space="preserve">Typography rules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Serif for headlines and the wordmark — always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Use more than two type families anywhere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Sans-serif for body, UI, captions — always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Use decorative, script, or display novelty fonts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Track uppercase labels at 0.06–0.08em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Set body text in serif — Georgia is for display only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Body line-height 1.6–1.7 minimum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Bold body text mid-paragraph — use a subhead instead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Use Georgia for document section titles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Mix more than two weights (Regular + Bold only)</w:t>
            </w:r>
          </w:p>
        </w:tc>
      </w:tr>
    </w:tbl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0F2A4A"/>
          <w:sz w:val="40"/>
          <w:szCs w:val="40"/>
        </w:rPr>
        <w:t xml:space="preserve">5. Brand applications</w:t>
      </w:r>
    </w:p>
    <w:p>
      <w:pPr>
        <w:pBdr>
          <w:bottom w:val="single" w:color="C8973A" w:sz="6" w:space="4"/>
        </w:pBdr>
        <w:spacing w:after="160" w:before="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2A4A"/>
          <w:sz w:val="26"/>
          <w:szCs w:val="26"/>
        </w:rPr>
        <w:t xml:space="preserve">Digital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Website header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Full lockup (icon + wordmark + tagline) on Navy. White text. Gold CTA button. Min height 64px.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App header (mobile)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Horizontal lockup on Navy. White wordmark. 48px height.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Email header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Horizontal lockup centered on Navy. Max width 600px. Padding 24px top/bottom.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Social avatar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Icon mark only on Navy, 400×400px minimum. No wordmark at this size.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Social cover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Full lockup on Navy left third. Field photography right with 60% Navy overlay.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Favicon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Icon mark only, 32×32px. Test legibility before deploying — the arc must remain visible.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OG / social card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Wordmark + tagline centered on Navy. 1200×630px. Gold horizontal rule as the only accent.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Domain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canvara.io — primary. Pursue canvara.com via domain broker. Use canvara.io on all materials until .com is secured.</w:t>
            </w:r>
          </w:p>
        </w:tc>
      </w:tr>
    </w:tbl>
    <w:p>
      <w:pPr>
        <w:spacing w:after="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2A4A"/>
          <w:sz w:val="26"/>
          <w:szCs w:val="26"/>
        </w:rPr>
        <w:t xml:space="preserve">Print and field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Campaign materials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Stone background. Navy type. Gold rule accent. Full lockup top-left or top-center.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Business cards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Navy front: white wordmark centered, gold rule, title in Slate. White back: contact in Ink.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Letterhead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Navy top bar (1 inch). Horizontal lockup white left-aligned. Body area white, Ink text.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Walk lists / field sheets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Stone background. Navy header bar with white horizontal lockup. Functional, clean.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Presentation decks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Title slides: Navy background, white and gold type. Content slides: white background, Navy type.</w:t>
            </w:r>
          </w:p>
        </w:tc>
      </w:tr>
    </w:tbl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0F2A4A"/>
          <w:sz w:val="40"/>
          <w:szCs w:val="40"/>
        </w:rPr>
        <w:t xml:space="preserve">6. Naming and legal conventions</w:t>
      </w:r>
    </w:p>
    <w:p>
      <w:pPr>
        <w:pBdr>
          <w:bottom w:val="single" w:color="C8973A" w:sz="6" w:space="4"/>
        </w:pBdr>
        <w:spacing w:after="160" w:before="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Company name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Canvara — capital C, lowercase rest. Never all-caps CANVARA in body text (all-caps is wordmark only).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Walk &amp; Talk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Always ampersand. Always title case. "Walk &amp; Talk" — not "walk and talk."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Feature names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Lowercase in body text: "persuasion mode," "gather phase," "walk &amp; talk mode."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Phase names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Capitalize as proper nouns: Gather Phase, Modeling Phase, Craft Phase, Persuade Phase.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AI references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"AI-assisted" or "AI-powered" — never "robot," "bot," or anthropomorphized language.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First use in doc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Canvara™ — include ™ on first use in any document until USPTO registration is confirmed.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After registration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Canvara® — switch to ® once USPTO registration is confirmed (Classes 35 + 42).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Domain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canvara.io in all materials. Pursue canvara.com acquisition in parallel via domain broker.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Social handles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20"/>
                <w:szCs w:val="20"/>
              </w:rPr>
              <w:t xml:space="preserve">@canvaraio (Instagram), @canvara (X/Twitter if available), Canvara (LinkedIn company page).</w:t>
            </w:r>
          </w:p>
        </w:tc>
      </w:tr>
    </w:tbl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0F2A4A"/>
          <w:sz w:val="40"/>
          <w:szCs w:val="40"/>
        </w:rPr>
        <w:t xml:space="preserve">7. Quick reference</w:t>
      </w:r>
    </w:p>
    <w:p>
      <w:pPr>
        <w:pBdr>
          <w:bottom w:val="single" w:color="C8973A" w:sz="6" w:space="4"/>
        </w:pBdr>
        <w:spacing w:after="160" w:before="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923"/>
                <w:sz w:val="19"/>
                <w:szCs w:val="19"/>
              </w:rPr>
              <w:t xml:space="preserve">Primary color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19"/>
                <w:szCs w:val="19"/>
              </w:rPr>
              <w:t xml:space="preserve">#0F2A4A  Canvara Navy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All headlines, icon, dark backgrounds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923"/>
                <w:sz w:val="19"/>
                <w:szCs w:val="19"/>
              </w:rPr>
              <w:t xml:space="preserve">Accent color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19"/>
                <w:szCs w:val="19"/>
              </w:rPr>
              <w:t xml:space="preserve">#C8973A  Canvara Gold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CTA, signal dots, emphasis — use sparingly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923"/>
                <w:sz w:val="19"/>
                <w:szCs w:val="19"/>
              </w:rPr>
              <w:t xml:space="preserve">Body text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19"/>
                <w:szCs w:val="19"/>
              </w:rPr>
              <w:t xml:space="preserve">#0F1923  Ink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Body text on white / stone backgrounds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923"/>
                <w:sz w:val="19"/>
                <w:szCs w:val="19"/>
              </w:rPr>
              <w:t xml:space="preserve">Secondary text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19"/>
                <w:szCs w:val="19"/>
              </w:rPr>
              <w:t xml:space="preserve">#888780  Slate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Captions, metadata, tagline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923"/>
                <w:sz w:val="19"/>
                <w:szCs w:val="19"/>
              </w:rPr>
              <w:t xml:space="preserve">Background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19"/>
                <w:szCs w:val="19"/>
              </w:rPr>
              <w:t xml:space="preserve">#F5F4F0  Stone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Page/card bg in light-mode UI and print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923"/>
                <w:sz w:val="19"/>
                <w:szCs w:val="19"/>
              </w:rPr>
              <w:t xml:space="preserve">Borders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19"/>
                <w:szCs w:val="19"/>
              </w:rPr>
              <w:t xml:space="preserve">#D3D1C7  Rule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0.5px dividers, card borders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923"/>
                <w:sz w:val="19"/>
                <w:szCs w:val="19"/>
              </w:rPr>
              <w:t xml:space="preserve">Headline font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19"/>
                <w:szCs w:val="19"/>
              </w:rPr>
              <w:t xml:space="preserve">Georgia Bold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Tracked caps for wordmark; sentence case for headlines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923"/>
                <w:sz w:val="19"/>
                <w:szCs w:val="19"/>
              </w:rPr>
              <w:t xml:space="preserve">Body font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19"/>
                <w:szCs w:val="19"/>
              </w:rPr>
              <w:t xml:space="preserve">Arial Regular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All UI, body copy, captions, labels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923"/>
                <w:sz w:val="19"/>
                <w:szCs w:val="19"/>
              </w:rPr>
              <w:t xml:space="preserve">Logo min size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19"/>
                <w:szCs w:val="19"/>
              </w:rPr>
              <w:t xml:space="preserve">32px digital / 0.5in print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Icon mark minimum. Test arc legibility.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923"/>
                <w:sz w:val="19"/>
                <w:szCs w:val="19"/>
              </w:rPr>
              <w:t xml:space="preserve">Clear space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19"/>
                <w:szCs w:val="19"/>
              </w:rPr>
              <w:t xml:space="preserve">1× icon height on all sides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Around the complete logo lockup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923"/>
                <w:sz w:val="19"/>
                <w:szCs w:val="19"/>
              </w:rPr>
              <w:t xml:space="preserve">Border radius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19"/>
                <w:szCs w:val="19"/>
              </w:rPr>
              <w:t xml:space="preserve">8px elements / 12px cards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Never more than 20px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923"/>
                <w:sz w:val="19"/>
                <w:szCs w:val="19"/>
              </w:rPr>
              <w:t xml:space="preserve">Motion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19"/>
                <w:szCs w:val="19"/>
              </w:rPr>
              <w:t xml:space="preserve">200ms ease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All transitions. No spring or bounce.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923"/>
                <w:sz w:val="19"/>
                <w:szCs w:val="19"/>
              </w:rPr>
              <w:t xml:space="preserve">Domain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19"/>
                <w:szCs w:val="19"/>
              </w:rPr>
              <w:t xml:space="preserve">canvara.io (primary)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Pursue canvara.com via GoDaddy Domain Broker</w:t>
            </w:r>
          </w:p>
        </w:tc>
      </w:tr>
      <w:tr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923"/>
                <w:sz w:val="19"/>
                <w:szCs w:val="19"/>
              </w:rPr>
              <w:t xml:space="preserve">Trademark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923"/>
                <w:sz w:val="19"/>
                <w:szCs w:val="19"/>
              </w:rPr>
              <w:t xml:space="preserve">Classes 35 + 42 USPTO</w:t>
            </w:r>
          </w:p>
        </w:tc>
        <w:tc>
          <w:tcPr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File intent-to-use application immediately</w:t>
            </w:r>
          </w:p>
        </w:tc>
      </w:tr>
    </w:tbl>
    <w:p>
      <w:pPr>
        <w:spacing w:after="0" w:before="200"/>
      </w:pPr>
    </w:p>
    <w:p>
      <w:pPr>
        <w:pBdr>
          <w:bottom w:val="single" w:color="E0DDD5" w:sz="2" w:space="1"/>
        </w:pBdr>
        <w:spacing w:after="200" w:before="200"/>
      </w:pPr>
    </w:p>
    <w:p>
      <w:pPr>
        <w:spacing w:after="0" w:before="80"/>
      </w:pPr>
    </w:p>
    <w:p>
      <w:pPr>
        <w:spacing w:after="120" w:before="120"/>
        <w:jc w:val="center"/>
      </w:pPr>
      <w:r>
        <w:drawing>
          <wp:inline distT="0" distB="0" distL="0" distR="0">
            <wp:extent cx="2857500" cy="571500"/>
            <wp:effectExtent t="0" r="0" b="0" l="0"/>
            <wp:docPr id="1" name="Canvara logo" descr="Canvara logo" title="Canvar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Brand Style Guide  ·  Version 1.0  ·  April 2026  ·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0F2A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0F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2956b986dd690fda9f47ae5ea9e430e238b635f.png"/><Relationship Id="rId8" Type="http://schemas.openxmlformats.org/officeDocument/2006/relationships/image" Target="media/2326f7d36b352973dfd8137617121061f9c98475.png"/><Relationship Id="rId9" Type="http://schemas.openxmlformats.org/officeDocument/2006/relationships/image" Target="media/31eac232cea74c1a4da38640f99cf93d41c6ef85.png"/><Relationship Id="rId10" Type="http://schemas.openxmlformats.org/officeDocument/2006/relationships/image" Target="media/93e6f64af6db0d54f7e151b1efff4f869b309299.png"/><Relationship Id="rId11" Type="http://schemas.openxmlformats.org/officeDocument/2006/relationships/image" Target="media/b1c85dbd10cca76944df00172133d8f1ab1b81e9.png"/><Relationship Id="rId12" Type="http://schemas.openxmlformats.org/officeDocument/2006/relationships/image" Target="media/1e640c8b038b962f92d7f95734fada45f972d51a.png"/><Relationship Id="rId13" Type="http://schemas.openxmlformats.org/officeDocument/2006/relationships/image" Target="media/cd3885c95e7665c5c82fdb033807dd8f00bdac2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2026-04-07T05:00:59.061Z</dcterms:created>
  <dcterms:modified xsi:type="dcterms:W3CDTF">2026-04-07T05:00:59.062Z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