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function “A_star_uvw”(change name potentially) is designed to evaluate how well each taxa aligns with a reference group (A) in a way that leverages the F-distribution by creating an ANOVA like situation.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each row/taxa, the function standardizes its values within each treatment to create vectors (u_j), (v_j), and (w_j). These vectors represent the row/taxa's standardized contribution to correlation measurements across samples or conditions within each treatment.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each row/taxa (j), the function builds (u_A), (v_A), and (w_A) vectors by averaging the standardized u_j, v_j and w_j of all row/taxa in the reference group A, excluding row/taxa (j) itself if j is in A. These reference vectors represent the typical pattern of the reference group within each treatment.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alignment of row/taxa (j) with the reference group in each treatment is quantified by the covariance between the row/taxa's standardized vector (u_j) and the corresponding reference vector (u_A). This covariance is equivalent to the products of paired elements, such as (sum u_j * u_A), where the sum runs over all samples. This sum of products is a covariance-like measure capturing how similarly row/taxa (j) and the reference group vary together across samples.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three scores (from (u), (v), and (w)) for each row/taxa are treated as treatment-specific "means" (m’s) that summarize how strongly the row/taxa aligns with the reference group in each treatment.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function then performs an ANOVA-style comparison by partitioning the variance of these alignment scores into between-treatment and within-treatment components.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between treatment sum of squares is calculated as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ratio of between-treatment to within-treatment variance forms an F-statistic for each row/taxa. This statistic tests whether the row/taxa's alignment with the reference group is consistent across treatments or whether its covariance-based behavior differs significantly.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summary, the function leverages the covariance-like sums of products of standardized vectors to quantify alignment via correlation, then uses these scores in an ANOVA framework to detect treatment-specific differences in alignment patterns.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