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8025F" w14:textId="77777777" w:rsidR="00BE5D3D" w:rsidRDefault="00BE5D3D">
      <w:pPr>
        <w:sectPr w:rsidR="00BE5D3D">
          <w:pgSz w:w="12240" w:h="15840"/>
          <w:pgMar w:top="1440" w:right="1440" w:bottom="1440" w:left="1440" w:header="720" w:footer="720" w:gutter="0"/>
          <w:pgNumType w:start="1"/>
          <w:cols w:space="720"/>
        </w:sectPr>
      </w:pPr>
    </w:p>
    <w:p w14:paraId="00000014" w14:textId="61BF3201" w:rsidR="0003564C" w:rsidRPr="00BE5D3D" w:rsidRDefault="00000000">
      <w:r>
        <w:t>When comparing data sampled under several different sampling conditions, we often want to study not only the overall treatment effect, but also how treatments influence individual behavior or the behavior of subsets of the data. Differential Correlation Mining (DCM) is an existing method for analyzing differences in correlation structure between exactly two sampling conditions that identifies groups of variables whose average pairwise correlation is significantly higher under one condition than the other. We extend this framework to the setting of three or more treatments, where the goal is instead to identify variable sets that exhibit similar correlation patterns across multiple conditions. Our proposed method generalizes the DCM search procedure, using a comparable multi-treatment hypothesis test to update the variable set of interest. The resulting sets support simultaneous comparison across treatments and identify clusters that are differentially correlated with respect to a particular treatment or subset of treatments. We demonstrate the effectiveness of this extension through simulation and real data applications, showing that it can uncover meaningful treatment-dependent correlation structure that is not detectable using pairwise two-condition comparisons.</w:t>
      </w:r>
    </w:p>
    <w:p w14:paraId="00000015" w14:textId="77777777" w:rsidR="0003564C" w:rsidRDefault="0003564C"/>
    <w:p w14:paraId="00000016" w14:textId="77777777" w:rsidR="0003564C" w:rsidRDefault="00000000">
      <w:r>
        <w:t>—----------------------------------------------------------------------------------------------------------------------------</w:t>
      </w:r>
    </w:p>
    <w:sectPr w:rsidR="0003564C" w:rsidSect="00BE5D3D">
      <w:type w:val="continuous"/>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420B95F-BAF9-401B-9F6F-FDD51F12CC4C}"/>
  </w:font>
  <w:font w:name="Cambria">
    <w:panose1 w:val="02040503050406030204"/>
    <w:charset w:val="00"/>
    <w:family w:val="roman"/>
    <w:pitch w:val="variable"/>
    <w:sig w:usb0="E00006FF" w:usb1="420024FF" w:usb2="02000000" w:usb3="00000000" w:csb0="0000019F" w:csb1="00000000"/>
    <w:embedRegular r:id="rId2" w:fontKey="{4EFAC3D0-7D09-40A5-B850-E30CD1F8295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64C"/>
    <w:rsid w:val="0003564C"/>
    <w:rsid w:val="00B86B78"/>
    <w:rsid w:val="00BE5D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921A0"/>
  <w15:docId w15:val="{22A850A8-CA44-44A9-BBD9-44DE36622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210</Words>
  <Characters>1203</Characters>
  <Application>Microsoft Office Word</Application>
  <DocSecurity>0</DocSecurity>
  <Lines>10</Lines>
  <Paragraphs>2</Paragraphs>
  <ScaleCrop>false</ScaleCrop>
  <Company/>
  <LinksUpToDate>false</LinksUpToDate>
  <CharactersWithSpaces>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Tyler Stoen</cp:lastModifiedBy>
  <cp:revision>2</cp:revision>
  <dcterms:created xsi:type="dcterms:W3CDTF">2026-02-23T05:54:00Z</dcterms:created>
  <dcterms:modified xsi:type="dcterms:W3CDTF">2026-02-23T05:56:00Z</dcterms:modified>
</cp:coreProperties>
</file>