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77777777" w:rsidR="00045D80" w:rsidRDefault="00000000">
      <w:r>
        <w:t>Tyler Stoen</w:t>
      </w:r>
    </w:p>
    <w:p w14:paraId="00000003" w14:textId="77777777" w:rsidR="00045D80" w:rsidRDefault="00000000">
      <w:pPr>
        <w:jc w:val="center"/>
      </w:pPr>
      <w:r>
        <w:t>Differential Correlation Analysis for three or more Treatments</w:t>
      </w:r>
    </w:p>
    <w:p w14:paraId="00000004" w14:textId="77777777" w:rsidR="00045D80" w:rsidRDefault="00000000">
      <w:pPr>
        <w:ind w:firstLine="720"/>
      </w:pPr>
      <w:r>
        <w:t xml:space="preserve">Comparing data sampled under different conditions typically amounts to a first-order analysis such as a difference in means in two treatment cases, or an ANOVA test in multi-treatment cases. However, these methods often only capture overall behavior across conditions and fail to measure the behavior of individual variables or a small set of variables. Second-order statistics such as correlation uncover these behaviors, leading to a more comprehensive analysis of the treatment on an individual variable level. </w:t>
      </w:r>
    </w:p>
    <w:p w14:paraId="00000005" w14:textId="154E9CB3" w:rsidR="00045D80" w:rsidRDefault="00000000">
      <w:pPr>
        <w:ind w:firstLine="720"/>
      </w:pPr>
      <w:r>
        <w:t xml:space="preserve">Differential correlation allows for a quantification of treatment effects on variables and specifically how different treatments change, or do not change, the relationship between variables. Differential correlation is well defined for a </w:t>
      </w:r>
      <w:r w:rsidR="00FD0EB3">
        <w:t>two-treatment</w:t>
      </w:r>
      <w:r>
        <w:t xml:space="preserve"> </w:t>
      </w:r>
      <w:r w:rsidR="00FD0EB3">
        <w:t>case and</w:t>
      </w:r>
      <w:r>
        <w:t xml:space="preserve"> is simply computed by subtracting the average correlation across the two conditions. For a </w:t>
      </w:r>
      <w:proofErr w:type="gramStart"/>
      <w:r>
        <w:t>three or more treatment</w:t>
      </w:r>
      <w:proofErr w:type="gramEnd"/>
      <w:r>
        <w:t xml:space="preserve"> case, one approach is to make C(p,2) pairwise comparisons. While valid, this method is limited in scale and fails to provide a single measurement of how a variable’s relationships change across all treatments simultaneously. </w:t>
      </w:r>
    </w:p>
    <w:p w14:paraId="00000006" w14:textId="77777777" w:rsidR="00045D80" w:rsidRDefault="00000000">
      <w:pPr>
        <w:ind w:firstLine="720"/>
      </w:pPr>
      <w:r>
        <w:t xml:space="preserve">Given differential correlation, a common problem of interest is identifying variables that have similar differential behavior. Differential Correlation Mining (DCM) is an existing method for analyzing differences in correlation structure between two different sampling conditions. DCM identifies groups of variables whose average pairwise correlation is significantly higher under one condition than another. DCM works by iteratively updating a set of </w:t>
      </w:r>
      <w:proofErr w:type="gramStart"/>
      <w:r>
        <w:t>interest</w:t>
      </w:r>
      <w:proofErr w:type="gramEnd"/>
      <w:r>
        <w:t>, at each step computing the average correlation under both conditions and then testing whether each variable of interest is more highly correlated with the current set under one condition than the other. If this is true, the variable is added to the set and the process is repeated. The result of the procedure is an estimated differentially correlated (DC) clique, representing a stable set of variables that share a coherent shift in correlation structure across conditions.</w:t>
      </w:r>
    </w:p>
    <w:p w14:paraId="00000007" w14:textId="4A8BFA95" w:rsidR="00045D80" w:rsidRDefault="00000000">
      <w:pPr>
        <w:ind w:firstLine="720"/>
      </w:pPr>
      <w:r>
        <w:t xml:space="preserve">Our proposed method extends this framework to a </w:t>
      </w:r>
      <w:proofErr w:type="gramStart"/>
      <w:r>
        <w:t>three or more treatment</w:t>
      </w:r>
      <w:proofErr w:type="gramEnd"/>
      <w:r>
        <w:t xml:space="preserve"> case, where the goal is instead to identify variable cliques that exhibit similar differential behavior over more than two treatments. To achieve this, we utilize the DCM iterative set updating procedure and exploit a different statistic that captures the difference in average correlation for each treatment with the overall average correlation across all treatments, </w:t>
      </w:r>
      <w:proofErr w:type="gramStart"/>
      <w:r>
        <w:t>similar to</w:t>
      </w:r>
      <w:proofErr w:type="gramEnd"/>
      <w:r>
        <w:t xml:space="preserve"> an ANOVA framework. However, our discoveries (to this point) the normality assumption that validated the two-treatment DCM test statistic and allowed for the computation of a p-value does not hold for the multi-condition case. These hypothesis tests and p-values are used to determine whether a variable belongs to the DC clique. Therefore, as a replacement we propose a </w:t>
      </w:r>
      <w:r w:rsidR="00FD0EB3">
        <w:t>permutation-based</w:t>
      </w:r>
      <w:r>
        <w:t xml:space="preserve"> approach for testing differential correlation, having the advantage that it doesn’t have any strict model assumptions. Using permutation testing allows us to preserve the DCM structure and gives us valid hypothesis tests for updating cliques.</w:t>
      </w:r>
    </w:p>
    <w:p w14:paraId="00000008" w14:textId="77777777" w:rsidR="00045D80" w:rsidRDefault="00000000">
      <w:pPr>
        <w:ind w:firstLine="720"/>
      </w:pPr>
      <w:r>
        <w:t xml:space="preserve">As a result, we </w:t>
      </w:r>
      <w:proofErr w:type="gramStart"/>
      <w:r>
        <w:t>are able to</w:t>
      </w:r>
      <w:proofErr w:type="gramEnd"/>
      <w:r>
        <w:t xml:space="preserve"> identify clusters or cliques of variables that exhibit coherent shifts in correlation structure across three or more treatments simultaneously. This provides a unified measure of differential correlation in the multi-condition setting without relying on exhaustive pairwise comparisons. Our extension enables detection of higher-order treatment effects in high-dimensional data, offering a systematic approach for uncovering coordinated structural changes in complex datasets such as genomic and environmental. By generalizing differential correlation mining beyond the two-condition case, our method expands the </w:t>
      </w:r>
      <w:r>
        <w:lastRenderedPageBreak/>
        <w:t>applicability of second-order analysis and provides a more comprehensive understanding of how relationships among variables evolve across multiple experimental conditions.</w:t>
      </w:r>
    </w:p>
    <w:p w14:paraId="00000009" w14:textId="77777777" w:rsidR="00045D80" w:rsidRDefault="00045D80"/>
    <w:p w14:paraId="0000000A" w14:textId="77777777" w:rsidR="00045D80" w:rsidRDefault="00000000">
      <w:r>
        <w:t>References:</w:t>
      </w:r>
    </w:p>
    <w:p w14:paraId="0000000B" w14:textId="77777777" w:rsidR="00045D80" w:rsidRDefault="00045D80"/>
    <w:p w14:paraId="0000000C" w14:textId="77777777" w:rsidR="00045D80" w:rsidRDefault="00000000">
      <w:pPr>
        <w:rPr>
          <w:sz w:val="24"/>
          <w:szCs w:val="24"/>
        </w:rPr>
      </w:pPr>
      <w:r>
        <w:rPr>
          <w:color w:val="222222"/>
          <w:highlight w:val="white"/>
        </w:rPr>
        <w:t xml:space="preserve">Siska, C., Bowler, R., &amp; </w:t>
      </w:r>
      <w:proofErr w:type="spellStart"/>
      <w:r>
        <w:rPr>
          <w:color w:val="222222"/>
          <w:highlight w:val="white"/>
        </w:rPr>
        <w:t>Kechris</w:t>
      </w:r>
      <w:proofErr w:type="spellEnd"/>
      <w:r>
        <w:rPr>
          <w:color w:val="222222"/>
          <w:highlight w:val="white"/>
        </w:rPr>
        <w:t xml:space="preserve">, K. (2016). The discordant method: a novel approach for differential correlation. </w:t>
      </w:r>
      <w:r>
        <w:rPr>
          <w:i/>
          <w:iCs/>
          <w:color w:val="222222"/>
          <w:highlight w:val="white"/>
        </w:rPr>
        <w:t>Bioinformatics</w:t>
      </w:r>
      <w:r>
        <w:rPr>
          <w:color w:val="222222"/>
          <w:highlight w:val="white"/>
        </w:rPr>
        <w:t xml:space="preserve">, </w:t>
      </w:r>
      <w:r>
        <w:rPr>
          <w:i/>
          <w:iCs/>
          <w:color w:val="222222"/>
          <w:highlight w:val="white"/>
        </w:rPr>
        <w:t>32</w:t>
      </w:r>
      <w:r>
        <w:rPr>
          <w:color w:val="222222"/>
          <w:highlight w:val="white"/>
        </w:rPr>
        <w:t>(5), 690-696.</w:t>
      </w:r>
    </w:p>
    <w:p w14:paraId="0000000D" w14:textId="77777777" w:rsidR="00045D80" w:rsidRDefault="00045D80"/>
    <w:p w14:paraId="0000000E" w14:textId="77777777" w:rsidR="00045D80" w:rsidRDefault="00000000">
      <w:pPr>
        <w:rPr>
          <w:sz w:val="24"/>
          <w:szCs w:val="24"/>
        </w:rPr>
      </w:pPr>
      <w:r>
        <w:rPr>
          <w:color w:val="222222"/>
          <w:highlight w:val="white"/>
        </w:rPr>
        <w:t xml:space="preserve">Gómez, J. Á. S., Zhang, E., &amp; Liu, Y. (2025). Effective Permutation Tests for Differences Across Multiple High-Dimensional Correlation Matrices. </w:t>
      </w:r>
      <w:r>
        <w:rPr>
          <w:i/>
          <w:iCs/>
          <w:color w:val="222222"/>
          <w:highlight w:val="white"/>
        </w:rPr>
        <w:t>Journal of Computational and Graphical Statistics</w:t>
      </w:r>
      <w:r>
        <w:rPr>
          <w:color w:val="222222"/>
          <w:highlight w:val="white"/>
        </w:rPr>
        <w:t>, 1-10.</w:t>
      </w:r>
    </w:p>
    <w:p w14:paraId="0000000F" w14:textId="77777777" w:rsidR="00045D80" w:rsidRDefault="00045D80"/>
    <w:p w14:paraId="00000010" w14:textId="77777777" w:rsidR="00045D80" w:rsidRDefault="00000000">
      <w:pPr>
        <w:rPr>
          <w:sz w:val="24"/>
          <w:szCs w:val="24"/>
        </w:rPr>
      </w:pPr>
      <w:r>
        <w:rPr>
          <w:color w:val="222222"/>
          <w:highlight w:val="white"/>
        </w:rPr>
        <w:t xml:space="preserve">Bodwin, K., Zhang, K., &amp; Nobel, A. (2018). A </w:t>
      </w:r>
      <w:proofErr w:type="gramStart"/>
      <w:r>
        <w:rPr>
          <w:color w:val="222222"/>
          <w:highlight w:val="white"/>
        </w:rPr>
        <w:t>testing based</w:t>
      </w:r>
      <w:proofErr w:type="gramEnd"/>
      <w:r>
        <w:rPr>
          <w:color w:val="222222"/>
          <w:highlight w:val="white"/>
        </w:rPr>
        <w:t xml:space="preserve"> approach to the discovery of differentially correlated variable sets. </w:t>
      </w:r>
      <w:r>
        <w:rPr>
          <w:i/>
          <w:iCs/>
          <w:color w:val="222222"/>
          <w:highlight w:val="white"/>
        </w:rPr>
        <w:t>The annals of applied statistics</w:t>
      </w:r>
      <w:r>
        <w:rPr>
          <w:color w:val="222222"/>
          <w:highlight w:val="white"/>
        </w:rPr>
        <w:t xml:space="preserve">, </w:t>
      </w:r>
      <w:r>
        <w:rPr>
          <w:i/>
          <w:iCs/>
          <w:color w:val="222222"/>
          <w:highlight w:val="white"/>
        </w:rPr>
        <w:t>12</w:t>
      </w:r>
      <w:r>
        <w:rPr>
          <w:color w:val="222222"/>
          <w:highlight w:val="white"/>
        </w:rPr>
        <w:t>(2), 1180.</w:t>
      </w:r>
    </w:p>
    <w:p w14:paraId="00000011" w14:textId="77777777" w:rsidR="00045D80" w:rsidRDefault="00045D80"/>
    <w:p w14:paraId="00000012" w14:textId="489635A1" w:rsidR="00FD0EB3" w:rsidRDefault="00000000" w:rsidP="00FD0EB3">
      <w:r>
        <w:rPr>
          <w:color w:val="222222"/>
          <w:highlight w:val="white"/>
        </w:rPr>
        <w:t xml:space="preserve">Benjamini, Y., &amp; </w:t>
      </w:r>
      <w:proofErr w:type="spellStart"/>
      <w:r>
        <w:rPr>
          <w:color w:val="222222"/>
          <w:highlight w:val="white"/>
        </w:rPr>
        <w:t>Yekutieli</w:t>
      </w:r>
      <w:proofErr w:type="spellEnd"/>
      <w:r>
        <w:rPr>
          <w:color w:val="222222"/>
          <w:highlight w:val="white"/>
        </w:rPr>
        <w:t xml:space="preserve">, D. (2001). The control of the false discovery rate in multiple testing under dependency. </w:t>
      </w:r>
      <w:r>
        <w:rPr>
          <w:i/>
          <w:iCs/>
          <w:color w:val="222222"/>
          <w:highlight w:val="white"/>
        </w:rPr>
        <w:t>Annals of statistics</w:t>
      </w:r>
      <w:r>
        <w:rPr>
          <w:color w:val="222222"/>
          <w:highlight w:val="white"/>
        </w:rPr>
        <w:t>, 1165-1188.</w:t>
      </w:r>
    </w:p>
    <w:p w14:paraId="00000016" w14:textId="3C336D97" w:rsidR="00045D80" w:rsidRDefault="00045D80"/>
    <w:sectPr w:rsidR="00045D8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8075EC1-CB68-4AE4-8CF8-4F4F6F02BC7E}"/>
  </w:font>
  <w:font w:name="Cambria">
    <w:panose1 w:val="02040503050406030204"/>
    <w:charset w:val="00"/>
    <w:family w:val="roman"/>
    <w:pitch w:val="variable"/>
    <w:sig w:usb0="E00006FF" w:usb1="420024FF" w:usb2="02000000" w:usb3="00000000" w:csb0="0000019F" w:csb1="00000000"/>
    <w:embedRegular r:id="rId2" w:fontKey="{05BB8030-5DB7-4103-8358-6227F580DA1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5D80"/>
    <w:rsid w:val="00045D80"/>
    <w:rsid w:val="005D284C"/>
    <w:rsid w:val="00812B08"/>
    <w:rsid w:val="00B86B78"/>
    <w:rsid w:val="00FD0E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BDD24"/>
  <w15:docId w15:val="{22A850A8-CA44-44A9-BBD9-44DE36622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2</Pages>
  <Words>704</Words>
  <Characters>4016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Tyler Stoen</cp:lastModifiedBy>
  <cp:revision>4</cp:revision>
  <dcterms:created xsi:type="dcterms:W3CDTF">2026-02-23T05:53:00Z</dcterms:created>
  <dcterms:modified xsi:type="dcterms:W3CDTF">2026-02-23T06:21:00Z</dcterms:modified>
</cp:coreProperties>
</file>