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We introduce the following formula as a way to quantify the differential correlation between some variable and a set of variables, which we refer to as the affinity.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Δ(j,A) = 1/k(sum over all k(S(j, A) - S_bar(j, A))^2)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Where k is the number of conditions,</w:t>
      </w:r>
    </w:p>
    <w:p w:rsidR="00000000" w:rsidDel="00000000" w:rsidP="00000000" w:rsidRDefault="00000000" w:rsidRPr="00000000" w14:paraId="00000006">
      <w:pPr>
        <w:rPr/>
      </w:pPr>
      <w:r w:rsidDel="00000000" w:rsidR="00000000" w:rsidRPr="00000000">
        <w:rPr>
          <w:rtl w:val="0"/>
        </w:rPr>
        <w:t xml:space="preserve">j is some variable, A is a set of variables</w:t>
      </w:r>
    </w:p>
    <w:p w:rsidR="00000000" w:rsidDel="00000000" w:rsidP="00000000" w:rsidRDefault="00000000" w:rsidRPr="00000000" w14:paraId="00000007">
      <w:pPr>
        <w:rPr/>
      </w:pPr>
      <w:r w:rsidDel="00000000" w:rsidR="00000000" w:rsidRPr="00000000">
        <w:rPr>
          <w:rtl w:val="0"/>
        </w:rPr>
        <w:t xml:space="preserve">S is the average correlation between j and everything in A under condition i</w:t>
      </w:r>
    </w:p>
    <w:p w:rsidR="00000000" w:rsidDel="00000000" w:rsidP="00000000" w:rsidRDefault="00000000" w:rsidRPr="00000000" w14:paraId="00000008">
      <w:pPr>
        <w:rPr/>
      </w:pPr>
      <w:r w:rsidDel="00000000" w:rsidR="00000000" w:rsidRPr="00000000">
        <w:rPr>
          <w:rtl w:val="0"/>
        </w:rPr>
        <w:t xml:space="preserve">Sbar is the overall average of the average correlations between j and everything in A across all conditions.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This measurement is somewhat similar to the ANOVA between-group variation in that it compares average correlations for each condition to the overall average correlation. (Comment on assumptions, this measurement doesn’t follow any relevant distribution).</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We run the A* process specified in (Section X) to find the set of variables that exhibit the largest differential correlation across k conditions.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As previously mentioned, the affinity doesn’t necessarily follow any known statistical distribution and, to our knowledge, does not necessarily follow the relevant assumptions of independence, normality or equal variance. Because of this, there is no theoretical null distribution and cannot derive an exact p-value equivalent to a standard ANOVA F-test. The permutation test provides an alternative means of assessing statistical significance by generating an empirical null distribution for the size of Δ(j,A), which is then used to assess how extreme the observed values are.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permutation testing process involves randomly mixing samples across conditions while preserving the original condition sample sizes, thereby eliminating any genuine condition-specific correlation structure while maintaining the overall variability of the data. Mixing samples involves column-wise scrambling, preserving the relationship between variables within each sample but eliminating any condition-specific patterns of correlation among variables. This ensures that any condition-specific correlation structure is eliminated while the underlying multivariate structure of individual samples remains intact. By repeatedly recomputing the affinity statistic on these permuted datasets, we construct an empirical distribution against which the observed value can be compared to obtain a permutation-based p-value. As discussed in earlier sections, the multiple testing involved with testing each variable requires the Benjemini-Houchberg procedure.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Testing simulated data while varying the strength of the underlying correlations, the size of the initial sets, and the number of truly differentially correlated variables demonstrated that the permutation-based approach reliably identified the correct subsets. </w:t>
      </w:r>
    </w:p>
    <w:p w:rsidR="00000000" w:rsidDel="00000000" w:rsidP="00000000" w:rsidRDefault="00000000" w:rsidRPr="00000000" w14:paraId="00000013">
      <w:pPr>
        <w:spacing w:after="240" w:before="240" w:lineRule="auto"/>
        <w:rPr/>
      </w:pPr>
      <w:r w:rsidDel="00000000" w:rsidR="00000000" w:rsidRPr="00000000">
        <w:rPr>
          <w:rtl w:val="0"/>
        </w:rPr>
        <w:t xml:space="preserve">In scenarios where the true underlying differential correlation was strong and clearly distinguishable across conditions, the permutation-based procedure consistently recovered the true set of differentially correlated variables with high accuracy. As expected, performance degraded when the differential correlation signal weakened. In these cases, the algorithm was more sensitive to random variation in the simulated data and in the permutations themselves. Under moderate signal strengths, the procedure sometimes failed to detect any significant set, reflecting the difficulty the process had distinguishing subtle differences from noise.</w:t>
      </w:r>
    </w:p>
    <w:p w:rsidR="00000000" w:rsidDel="00000000" w:rsidP="00000000" w:rsidRDefault="00000000" w:rsidRPr="00000000" w14:paraId="00000014">
      <w:pPr>
        <w:spacing w:after="240" w:before="240" w:lineRule="auto"/>
        <w:rPr/>
      </w:pPr>
      <w:r w:rsidDel="00000000" w:rsidR="00000000" w:rsidRPr="00000000">
        <w:rPr>
          <w:rtl w:val="0"/>
        </w:rPr>
        <w:t xml:space="preserve">Additional experiments revealed several systematic behaviors. When one group of variables exhibited much stronger condition-specific correlations than others, the method reliably identified that group and excluded irrelevant variables. However, when multiple groups displayed correlations of comparable magnitude, the algorithm occasionally favored the larger or more internally coherent group, suggesting that group size and internal consistency can influence detection. In settings where all conditions exhibited elevated correlations but to different extents, the algorithm typically recovered only a subset of the truly correlated variables—those whose differential signal was most pronounced.</w:t>
      </w:r>
    </w:p>
    <w:p w:rsidR="00000000" w:rsidDel="00000000" w:rsidP="00000000" w:rsidRDefault="00000000" w:rsidRPr="00000000" w14:paraId="00000015">
      <w:pPr>
        <w:spacing w:after="240" w:before="240" w:lineRule="auto"/>
        <w:rPr/>
      </w:pPr>
      <w:r w:rsidDel="00000000" w:rsidR="00000000" w:rsidRPr="00000000">
        <w:rPr>
          <w:rtl w:val="0"/>
        </w:rPr>
        <w:t xml:space="preserve">Overall, the simulations demonstrate that the method reliably identifies variables with strong differential correlation, providing high confidence that selected variables truly reflect condition-dependent changes. A key limitation, however, is that it does not always recover the complete set of truly differentially correlated variables, particularly when signals are weak or partially masked by noise. Despite this, the method consistently detects a meaningful subset of relevant variables, making it a practical and effective tool for identifying differential correlation even in complex or noisy datasets.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