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5777C" w:rsidRDefault="00000000">
      <w:r>
        <w:t xml:space="preserve">We introduce the following formula as a way to quantify the differential correlation between some variable and a set of variables, which we refer to as the affinity. </w:t>
      </w:r>
    </w:p>
    <w:p w14:paraId="00000002" w14:textId="77777777" w:rsidR="0075777C" w:rsidRDefault="0075777C"/>
    <w:p w14:paraId="00000003" w14:textId="77777777" w:rsidR="0075777C" w:rsidRDefault="00000000">
      <w:r>
        <w:t xml:space="preserve">Δ(j,A) = 1/k(sum over all k(S(j, A) - S_bar(j, A))^2) </w:t>
      </w:r>
    </w:p>
    <w:p w14:paraId="00000004" w14:textId="77777777" w:rsidR="0075777C" w:rsidRDefault="0075777C"/>
    <w:p w14:paraId="00000005" w14:textId="77777777" w:rsidR="0075777C" w:rsidRDefault="00000000">
      <w:r>
        <w:t>Where k is the number of conditions,</w:t>
      </w:r>
    </w:p>
    <w:p w14:paraId="00000006" w14:textId="77777777" w:rsidR="0075777C" w:rsidRDefault="00000000">
      <w:r>
        <w:t>j is some variable, A is a set of variables</w:t>
      </w:r>
    </w:p>
    <w:p w14:paraId="00000007" w14:textId="77777777" w:rsidR="0075777C" w:rsidRDefault="00000000">
      <w:r>
        <w:t>S is the average correlation between j and everything in A under condition i</w:t>
      </w:r>
    </w:p>
    <w:p w14:paraId="00000008" w14:textId="77777777" w:rsidR="0075777C" w:rsidRDefault="00000000">
      <w:r>
        <w:t>Sbar is the overall average of the average correlations between j and everything in A across all conditions.</w:t>
      </w:r>
    </w:p>
    <w:p w14:paraId="00000009" w14:textId="77777777" w:rsidR="0075777C" w:rsidRDefault="0075777C"/>
    <w:p w14:paraId="0000000A" w14:textId="1B877B60" w:rsidR="0075777C" w:rsidRDefault="00000000">
      <w:r>
        <w:t>This measurement is similar to the ANOVA between-group variation in that it compares average correlations for each condition to the overall average correlation. (Comment on assumptions, this measurement doesn’t follow any relevant distribution).</w:t>
      </w:r>
    </w:p>
    <w:p w14:paraId="0000000B" w14:textId="77777777" w:rsidR="0075777C" w:rsidRDefault="0075777C"/>
    <w:p w14:paraId="0000000C" w14:textId="77777777" w:rsidR="0075777C" w:rsidRDefault="00000000">
      <w:r>
        <w:t xml:space="preserve">We run the A* process specified in (Section X) to find the set of variables that exhibit the largest differential correlation across k conditions. </w:t>
      </w:r>
    </w:p>
    <w:p w14:paraId="0000000D" w14:textId="77777777" w:rsidR="0075777C" w:rsidRDefault="0075777C"/>
    <w:p w14:paraId="0000000E" w14:textId="77777777" w:rsidR="0075777C" w:rsidRDefault="00000000">
      <w:r>
        <w:t>As previously mentioned, the affinity doesn’t necessarily follow any known statistical distribution and, to our knowledge, does not necessarily follow the relevant assumptions of independence, normality or equal variance. Because of this, there is no theoretical null distribution and cannot derive an exact p-value equivalent to a standard ANOVA F-test. The permutation test provides an alternative means of assessing statistical significance by generating an empirical null distribution for the size of Δ(j,A), which is then used to assess how extreme the observed values are.</w:t>
      </w:r>
    </w:p>
    <w:p w14:paraId="0000000F" w14:textId="77777777" w:rsidR="0075777C" w:rsidRDefault="0075777C"/>
    <w:p w14:paraId="00000010" w14:textId="77777777" w:rsidR="0075777C" w:rsidRDefault="00000000">
      <w:r>
        <w:t>The permutation testing process involves randomly mixing samples across conditions while preserving the original condition sample sizes, thereby eliminating any genuine condition-specific correlation structure while maintaining the overall variability of the data. Mixing samples involves column-wise scrambling, preserving the relationship between variables within each sample but eliminating any condition-specific patterns of correlation among variables. This ensures that any condition-specific correlation structure is eliminated while the underlying multivariate structure of individual samples remains intact. By repeatedly recomputing the affinity statistic on these permuted datasets, we construct an empirical distribution against which the observed value can be compared to obtain a permutation-based p-value. As discussed in earlier sections, the multiple testing involved with testing each variable requires the Benjemini-Houchberg procedure.</w:t>
      </w:r>
    </w:p>
    <w:p w14:paraId="00000011" w14:textId="77777777" w:rsidR="0075777C" w:rsidRDefault="0075777C"/>
    <w:p w14:paraId="00000012" w14:textId="77777777" w:rsidR="0075777C" w:rsidRDefault="00000000">
      <w:r>
        <w:t xml:space="preserve">Testing simulated data while varying the strength of the underlying correlations, the size of the initial sets, and the number of truly differentially correlated variables demonstrated that the permutation-based approach reliably identified the correct subsets. </w:t>
      </w:r>
    </w:p>
    <w:p w14:paraId="00000013" w14:textId="77777777" w:rsidR="0075777C" w:rsidRDefault="00000000">
      <w:pPr>
        <w:spacing w:before="240" w:after="240"/>
      </w:pPr>
      <w:r>
        <w:t xml:space="preserve">In scenarios where the true underlying differential correlation was strong and clearly distinguishable across conditions, the permutation-based procedure consistently recovered the </w:t>
      </w:r>
      <w:r>
        <w:lastRenderedPageBreak/>
        <w:t>true set of differentially correlated variables with high accuracy. As expected, performance degraded when the differential correlation signal weakened. In these cases, the algorithm was more sensitive to random variation in the simulated data and in the permutations themselves. Under moderate signal strengths, the procedure sometimes failed to detect any significant set, reflecting the difficulty the process had distinguishing subtle differences from noise.</w:t>
      </w:r>
    </w:p>
    <w:p w14:paraId="00000014" w14:textId="77777777" w:rsidR="0075777C" w:rsidRDefault="00000000">
      <w:pPr>
        <w:spacing w:before="240" w:after="240"/>
      </w:pPr>
      <w:r>
        <w:t>Additional experiments revealed several systematic behaviors. When one group of variables exhibited much stronger condition-specific correlations than others, the method reliably identified that group and excluded irrelevant variables. However, when multiple groups displayed correlations of comparable magnitude, the algorithm occasionally favored the larger or more internally coherent group, suggesting that group size and internal consistency can influence detection. In settings where all conditions exhibited elevated correlations but to different extents, the algorithm typically recovered only a subset of the truly correlated variables—those whose differential signal was most pronounced.</w:t>
      </w:r>
    </w:p>
    <w:p w14:paraId="00000015" w14:textId="77777777" w:rsidR="0075777C" w:rsidRDefault="00000000">
      <w:pPr>
        <w:spacing w:before="240" w:after="240"/>
      </w:pPr>
      <w:r>
        <w:t>Overall, the simulations demonstrate that the method reliably identifies variables with strong differential correlation, providing high confidence that selected variables truly reflect condition-dependent changes. A key limitation, however, is that it does not always recover the complete set of truly differentially correlated variables, particularly when signals are weak or partially masked by noise. Despite this, the method consistently detects a meaningful subset of relevant variables, making it a practical and effective tool for identifying differential correlation even in complex or noisy datasets.</w:t>
      </w:r>
    </w:p>
    <w:sectPr w:rsidR="007577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1EB1119-4BD3-4CE4-83FE-C8187FDF31AC}"/>
  </w:font>
  <w:font w:name="Cambria">
    <w:panose1 w:val="02040503050406030204"/>
    <w:charset w:val="00"/>
    <w:family w:val="roman"/>
    <w:pitch w:val="variable"/>
    <w:sig w:usb0="E00006FF" w:usb1="420024FF" w:usb2="02000000" w:usb3="00000000" w:csb0="0000019F" w:csb1="00000000"/>
    <w:embedRegular r:id="rId2" w:fontKey="{19470D14-6F66-441A-9F37-49B902344B1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77C"/>
    <w:rsid w:val="00654873"/>
    <w:rsid w:val="0075777C"/>
    <w:rsid w:val="00CB3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55202"/>
  <w15:docId w15:val="{6F4AAE49-F56F-452F-ADA4-7CFD9887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692</Words>
  <Characters>3948</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Stoen</cp:lastModifiedBy>
  <cp:revision>2</cp:revision>
  <dcterms:created xsi:type="dcterms:W3CDTF">2026-02-23T22:31:00Z</dcterms:created>
  <dcterms:modified xsi:type="dcterms:W3CDTF">2026-02-23T22:32:00Z</dcterms:modified>
</cp:coreProperties>
</file>