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50DC3" w:rsidRDefault="00000000">
      <w:r>
        <w:t>(Connect to previous sections)</w:t>
      </w:r>
    </w:p>
    <w:p w14:paraId="00000002" w14:textId="77777777" w:rsidR="00350DC3" w:rsidRDefault="00350DC3"/>
    <w:p w14:paraId="00000003" w14:textId="77777777" w:rsidR="00350DC3" w:rsidRDefault="00000000">
      <w:r>
        <w:t xml:space="preserve">One angle we tried </w:t>
      </w:r>
    </w:p>
    <w:p w14:paraId="00000004" w14:textId="77777777" w:rsidR="00350DC3" w:rsidRDefault="00350DC3"/>
    <w:p w14:paraId="00000005" w14:textId="77777777" w:rsidR="00350DC3" w:rsidRDefault="00000000">
      <w:r>
        <w:t>Like others his method is designed to evaluate how well each taxa aligns with a reference group (A) in a way that leverages the F-distribution by creating an ANOVA like situation. The idea is to replace the two-sample hypothesis test from the DCM procedure(reference) with one that works for multiple groups to obtain a p-value from a known distribution as the two condition case was able to.</w:t>
      </w:r>
    </w:p>
    <w:p w14:paraId="00000006" w14:textId="77777777" w:rsidR="00350DC3" w:rsidRDefault="00350DC3"/>
    <w:p w14:paraId="00000007" w14:textId="77777777" w:rsidR="00350DC3" w:rsidRDefault="00000000">
      <w:r>
        <w:t>Given p variables, measured under k different conditions, with number of samples under each condition denoted n</w:t>
      </w:r>
      <w:r>
        <w:rPr>
          <w:vertAlign w:val="subscript"/>
        </w:rPr>
        <w:t>k</w:t>
      </w:r>
      <w:r>
        <w:t>. We arrange the data into k separate p x n</w:t>
      </w:r>
      <w:r>
        <w:rPr>
          <w:vertAlign w:val="subscript"/>
        </w:rPr>
        <w:t>k</w:t>
      </w:r>
      <w:r>
        <w:t xml:space="preserve"> sub-dataframes, each row representing the measurements of a variable under each of the n</w:t>
      </w:r>
      <w:r>
        <w:rPr>
          <w:vertAlign w:val="subscript"/>
        </w:rPr>
        <w:t>k</w:t>
      </w:r>
      <w:r>
        <w:t xml:space="preserve"> samples in treatment k. </w:t>
      </w:r>
    </w:p>
    <w:p w14:paraId="00000008" w14:textId="77777777" w:rsidR="00350DC3" w:rsidRDefault="00350DC3"/>
    <w:p w14:paraId="00000009" w14:textId="77777777" w:rsidR="00350DC3" w:rsidRDefault="00000000">
      <w:r>
        <w:t>We define (LATEXify uij = (xij - xbar_ / sd(xi) ) to be the standardized contribution to correlation for a single treatment (here treatment 1). Due to the data matrix arrangement defined above, this amounts to row standardizing all data matrices so that values are standardized across measurements for an individual variable. In this form, inner products between rows correspond to sample correlations, and we can interpret uij * ulj as the contribution to the correlation between i and l in set A by sample j.</w:t>
      </w:r>
    </w:p>
    <w:p w14:paraId="0000000A" w14:textId="77777777" w:rsidR="00350DC3" w:rsidRDefault="00350DC3"/>
    <w:p w14:paraId="0000000B" w14:textId="77777777" w:rsidR="00350DC3" w:rsidRDefault="00000000">
      <w:r>
        <w:t>The VSAT procedure starts identically to DCM, we start with an initial set A (subset) {1, …, m} where m is the number of rows or variables in the data. We define the “connection”, or how similarly variables behave differentially across treatments, between variable i not in a set A and set A to be the average correlation between pairs i, l where l is in set A. This is equivalent to finding the covariance between the vector of scaled sample values for any variable not in set A and the vector of average sample values for all variables currently in set A. (Cov(uj, m1(treatment A))) We can use covariance to calculate this quantity because both the uis and m vectors are centered at 0.</w:t>
      </w:r>
    </w:p>
    <w:p w14:paraId="0000000C" w14:textId="77777777" w:rsidR="00350DC3" w:rsidRDefault="00350DC3"/>
    <w:p w14:paraId="0000000D" w14:textId="77777777" w:rsidR="00350DC3" w:rsidRDefault="00000000">
      <w:r>
        <w:t>This “connection” we defined as S1(i, A)) can be broken down into individual pieces, representing the individual contribution of each sample by taking uij and multiplying by m1j, the average value for things in A in the jth sample.</w:t>
      </w:r>
    </w:p>
    <w:p w14:paraId="0000000E" w14:textId="77777777" w:rsidR="00350DC3" w:rsidRDefault="00350DC3"/>
    <w:p w14:paraId="0000000F" w14:textId="77777777" w:rsidR="00350DC3" w:rsidRDefault="00000000">
      <w:r>
        <w:t>These “contributions” create an anova situation, with S1, S2, S3 representing the average contribution so each individual contribution would be distributed around this value. (SHOW PLOT BELOW)</w:t>
      </w:r>
    </w:p>
    <w:p w14:paraId="00000010" w14:textId="77777777" w:rsidR="00350DC3" w:rsidRDefault="00350DC3"/>
    <w:p w14:paraId="05CCED15" w14:textId="1FC45FA3" w:rsidR="00992D22" w:rsidRDefault="00164C7C">
      <w:r>
        <w:t>(</w:t>
      </w:r>
      <w:r w:rsidR="00000000">
        <w:t>A variable</w:t>
      </w:r>
      <w:r>
        <w:t>) is a clear example of a variable that exhibits similar differential behavior to that of the variables in A due to the clear separation of S1, S2 and S3 measurements, which quantify the difference in mean correlation between the variable and the set A across the three treatments</w:t>
      </w:r>
      <w:r w:rsidR="00992D22">
        <w:t xml:space="preserve">. </w:t>
      </w:r>
    </w:p>
    <w:p w14:paraId="4978AF29" w14:textId="77777777" w:rsidR="007D2153" w:rsidRDefault="007D2153"/>
    <w:p w14:paraId="355E8F11" w14:textId="535F7354" w:rsidR="00992D22" w:rsidRDefault="00992D22">
      <w:r>
        <w:lastRenderedPageBreak/>
        <w:t>Importantly, these correlation contributions are not independent. Although the correlation</w:t>
      </w:r>
      <w:r w:rsidR="007D2153">
        <w:t>s</w:t>
      </w:r>
      <w:r>
        <w:t xml:space="preserve"> between two variables </w:t>
      </w:r>
      <w:r w:rsidR="007D2153">
        <w:t>are</w:t>
      </w:r>
      <w:r>
        <w:t xml:space="preserve"> independent</w:t>
      </w:r>
      <w:r w:rsidR="007D2153">
        <w:t>, because we standardize counts across each variable to calculate contributions, these are dependent. As a result, the contributions can be extremely non-normal. The plot below demonstrates</w:t>
      </w:r>
    </w:p>
    <w:p w14:paraId="00000012" w14:textId="77777777" w:rsidR="00350DC3" w:rsidRDefault="00350DC3"/>
    <w:sectPr w:rsidR="00350D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06D5174-A8C0-44F4-8D59-E4884527266D}"/>
  </w:font>
  <w:font w:name="Cambria">
    <w:panose1 w:val="02040503050406030204"/>
    <w:charset w:val="00"/>
    <w:family w:val="roman"/>
    <w:pitch w:val="variable"/>
    <w:sig w:usb0="E00006FF" w:usb1="420024FF" w:usb2="02000000" w:usb3="00000000" w:csb0="0000019F" w:csb1="00000000"/>
    <w:embedRegular r:id="rId2" w:fontKey="{E365B7FA-6000-468F-BB04-A12669A4285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DC3"/>
    <w:rsid w:val="00164C7C"/>
    <w:rsid w:val="00225631"/>
    <w:rsid w:val="00350DC3"/>
    <w:rsid w:val="007D2153"/>
    <w:rsid w:val="00815128"/>
    <w:rsid w:val="00992D22"/>
    <w:rsid w:val="00CB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A118"/>
  <w15:docId w15:val="{D4DB15B9-07B1-4300-9757-8BC0841B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2517</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Stoen</dc:creator>
  <cp:keywords/>
  <dc:description/>
  <cp:lastModifiedBy>Tyler Stoen</cp:lastModifiedBy>
  <cp:revision>1</cp:revision>
  <dcterms:created xsi:type="dcterms:W3CDTF">2026-02-23T23:25:00Z</dcterms:created>
  <dcterms:modified xsi:type="dcterms:W3CDTF">2026-03-05T00:11:00Z</dcterms:modified>
</cp:coreProperties>
</file>