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rPr>
        <w:drawing>
          <wp:inline xmlns:a="http://schemas.openxmlformats.org/drawingml/2006/main" xmlns:pic="http://schemas.openxmlformats.org/drawingml/2006/picture">
            <wp:extent cx="3657600" cy="1391672"/>
            <wp:docPr id="1" name="Picture 1"/>
            <wp:cNvGraphicFramePr>
              <a:graphicFrameLocks noChangeAspect="1"/>
            </wp:cNvGraphicFramePr>
            <a:graphic>
              <a:graphicData uri="http://schemas.openxmlformats.org/drawingml/2006/picture">
                <pic:pic>
                  <pic:nvPicPr>
                    <pic:cNvPr id="0" name="FUS_Logo.png"/>
                    <pic:cNvPicPr/>
                  </pic:nvPicPr>
                  <pic:blipFill>
                    <a:blip r:embed="rId9"/>
                    <a:stretch>
                      <a:fillRect/>
                    </a:stretch>
                  </pic:blipFill>
                  <pic:spPr>
                    <a:xfrm>
                      <a:off x="0" y="0"/>
                      <a:ext cx="3657600" cy="1391672"/>
                    </a:xfrm>
                    <a:prstGeom prst="rect"/>
                  </pic:spPr>
                </pic:pic>
              </a:graphicData>
            </a:graphic>
          </wp:inline>
        </w:drawing>
      </w:r>
    </w:p>
    <w:p>
      <w:pPr>
        <w:jc w:val="center"/>
      </w:pPr>
      <w:r>
        <w:rPr>
          <w:rFonts w:ascii="Times New Roman" w:hAnsi="Times New Roman"/>
          <w:b/>
          <w:sz w:val="40"/>
        </w:rPr>
        <w:t>COURSE INFORMATION SHEET</w:t>
      </w:r>
    </w:p>
    <w:p>
      <w:pPr>
        <w:jc w:val="center"/>
      </w:pPr>
      <w:r>
        <w:rPr>
          <w:rFonts w:ascii="Times New Roman" w:hAnsi="Times New Roman"/>
          <w:sz w:val="32"/>
        </w:rPr>
        <w:t>Test</w:t>
      </w:r>
    </w:p>
    <w:tbl>
      <w:tblPr>
        <w:tblW w:type="auto" w:w="0"/>
        <w:tblLook w:firstColumn="1" w:firstRow="1" w:lastColumn="0" w:lastRow="0" w:noHBand="0" w:noVBand="1" w:val="04A0"/>
      </w:tblPr>
      <w:tblGrid>
        <w:gridCol w:w="4724"/>
        <w:gridCol w:w="4724"/>
      </w:tblGrid>
      <w:tr>
        <w:tc>
          <w:tcPr>
            <w:tcW w:type="dxa" w:w="5040"/>
          </w:tcPr>
          <w:p>
            <w:r>
              <w:rPr>
                <w:rFonts w:ascii="Times New Roman" w:hAnsi="Times New Roman"/>
                <w:sz w:val="28"/>
              </w:rPr>
              <w:t>Professor: Test</w:t>
              <w:br/>
              <w:t>Office: Test</w:t>
              <w:br/>
              <w:t>Office Hours: Test</w:t>
              <w:br/>
              <w:t>Phone: Test</w:t>
              <w:br/>
              <w:t>Email: Test@test.com</w:t>
            </w:r>
          </w:p>
        </w:tc>
        <w:tc>
          <w:tcPr>
            <w:tcW w:type="dxa" w:w="5040"/>
          </w:tcPr>
          <w:p>
            <w:pPr>
              <w:jc w:val="right"/>
            </w:pPr>
            <w:r>
              <w:rPr>
                <w:rFonts w:ascii="Times New Roman" w:hAnsi="Times New Roman"/>
                <w:sz w:val="28"/>
              </w:rPr>
              <w:t>Semester: Test</w:t>
              <w:br/>
              <w:t>Classroom: Test</w:t>
              <w:br/>
              <w:t>Class Meeting Days: Test</w:t>
              <w:br/>
              <w:t>Class Meeting Times: TEst</w:t>
            </w:r>
          </w:p>
        </w:tc>
      </w:tr>
    </w:tbl>
    <w:p>
      <w:r>
        <w:rPr>
          <w:rFonts w:ascii="Times New Roman" w:hAnsi="Times New Roman"/>
          <w:b/>
          <w:sz w:val="28"/>
        </w:rPr>
        <w:t>Course Description</w:t>
      </w:r>
      <w:r>
        <w:rPr>
          <w:rFonts w:ascii="Times New Roman" w:hAnsi="Times New Roman"/>
          <w:sz w:val="28"/>
        </w:rPr>
        <w:br/>
        <w:t>Examines the basic concepts of programming languages: programming language processors, elementary and structured data types, subprograms, sequence control, data control, storage management, syntax and translation, and programming environments. The student will also study three different programming languages and write a short project in each.</w:t>
      </w:r>
    </w:p>
    <w:p>
      <w:r>
        <w:rPr>
          <w:rFonts w:ascii="Times New Roman" w:hAnsi="Times New Roman"/>
          <w:b/>
          <w:sz w:val="28"/>
        </w:rPr>
        <w:t>Test</w:t>
      </w:r>
      <w:r>
        <w:rPr>
          <w:rFonts w:ascii="Times New Roman" w:hAnsi="Times New Roman"/>
          <w:sz w:val="28"/>
        </w:rPr>
        <w:br/>
        <w:t>Test</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