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Calibri" w:hAnsi="Calibri" w:eastAsia="Calibri"/>
          <w:b/>
          <w:i w:val="0"/>
          <w:color w:val="1F4E79"/>
          <w:sz w:val="36"/>
        </w:rPr>
        <w:t>Tyler Yan</w:t>
      </w:r>
    </w:p>
    <w:p>
      <w:pPr>
        <w:spacing w:before="0" w:after="40" w:line="259" w:lineRule="auto"/>
        <w:jc w:val="center"/>
      </w:pPr>
      <w:r>
        <w:rPr>
          <w:rFonts w:ascii="Calibri" w:hAnsi="Calibri" w:eastAsia="Calibri"/>
          <w:b w:val="0"/>
          <w:i w:val="0"/>
          <w:sz w:val="19"/>
        </w:rPr>
        <w:t>+1 (224) 368-3651  |  WeChat: 348749545  |  tyler.s.yan@gmail.com</w:t>
      </w:r>
    </w:p>
    <w:p>
      <w:pPr>
        <w:spacing w:before="0" w:after="20" w:line="259" w:lineRule="auto"/>
        <w:jc w:val="center"/>
      </w:pPr>
      <w:r>
        <w:rPr>
          <w:rFonts w:ascii="Calibri" w:hAnsi="Calibri" w:eastAsia="Calibri"/>
          <w:b/>
          <w:i w:val="0"/>
          <w:sz w:val="22"/>
        </w:rPr>
        <w:t>Senior Strategy &amp; Commercial Analysis Leader</w:t>
      </w:r>
    </w:p>
    <w:p>
      <w:pPr>
        <w:spacing w:before="0" w:after="20" w:line="259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18"/>
        </w:rPr>
        <w:t>AI / LLM Competitive Benchmarking  ·  Market &amp; Commercial Intelligence  ·  Growth Strategy  ·  Executive Decision Support</w:t>
      </w:r>
    </w:p>
    <w:p>
      <w:pPr>
        <w:spacing w:before="0" w:after="80" w:line="259" w:lineRule="auto"/>
        <w:jc w:val="center"/>
      </w:pPr>
      <w:r>
        <w:rPr>
          <w:rFonts w:ascii="Calibri" w:hAnsi="Calibri" w:eastAsia="Calibri"/>
          <w:b w:val="0"/>
          <w:i/>
          <w:color w:val="595959"/>
          <w:sz w:val="18"/>
        </w:rPr>
        <w:t>Former Bain Senior Manager (TMT)  ·  Strategy Director, China, Payoneer</w:t>
      </w:r>
    </w:p>
    <w:p>
      <w:pPr>
        <w:spacing w:before="200" w:after="4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EXECUTIVE SUMMARY</w:t>
      </w:r>
    </w:p>
    <w:p>
      <w:pPr>
        <w:spacing w:before="0" w:after="60" w:line="259" w:lineRule="auto"/>
      </w:pPr>
      <w:r>
        <w:rPr>
          <w:rFonts w:ascii="Calibri" w:hAnsi="Calibri" w:eastAsia="Calibri"/>
          <w:b w:val="0"/>
          <w:i w:val="0"/>
          <w:sz w:val="19"/>
        </w:rPr>
        <w:t>Strategy and commercial analysis leader with ~10 years of experience turning technology, competition, and market signals into executive decisions across AI infrastructure, cloud, semiconductor, SaaS, and fintech. Combines Bain-honed competitive benchmarking, market sizing, and commercial diligence with in-house leadership of China strategy, revenue operations, product prioritization, and growth planning at Payoneer.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sz w:val="19"/>
        </w:rPr>
        <w:t>Particularly strong at AI / large-model adjacent competitive and commercial analysis: AI cloud GTM and P&amp;L design, GenAI solution framing, AI chip / edge compute competitive mapping, AI data-center demand forecasting, and 20+ PE diligence / sector scans in enterprise SaaS and AI vertical applications. Operates fluently across China and the U.S., briefing CEO, Board, Corporate Strategy, Risk, Product, and GTM stakeholders.</w:t>
      </w:r>
    </w:p>
    <w:p>
      <w:pPr>
        <w:spacing w:before="200" w:after="4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CORE STRENGTHS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 w:val="0"/>
          <w:i w:val="0"/>
          <w:sz w:val="19"/>
        </w:rPr>
        <w:t>Competitive intelligence &amp; peer benchmarking (products, pricing, GTM, economics, capability gaps)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 w:val="0"/>
          <w:i w:val="0"/>
          <w:sz w:val="19"/>
        </w:rPr>
        <w:t>AI / LLM-adjacent market and commercial analysis: TAM/SAM, profit pools, willingness-to-pay, CapEx intensity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 w:val="0"/>
          <w:i w:val="0"/>
          <w:sz w:val="19"/>
        </w:rPr>
        <w:t>Structured primary research: expert interviews, CIO/CTO surveys, customer deep dives, scenario planning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 w:val="0"/>
          <w:i w:val="0"/>
          <w:sz w:val="19"/>
        </w:rPr>
        <w:t>Growth strategy, segmentation, ICP design, and GTM architecture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 w:val="0"/>
          <w:i w:val="0"/>
          <w:sz w:val="19"/>
        </w:rPr>
        <w:t>Product / roadmap translation from competitive insight to prioritized investment theses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 w:val="0"/>
          <w:i w:val="0"/>
          <w:sz w:val="19"/>
        </w:rPr>
        <w:t>Cross-functional leadership across product, risk, compliance, FP&amp;A, banking, marketing, and sales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 w:val="0"/>
          <w:i w:val="0"/>
          <w:sz w:val="19"/>
        </w:rPr>
        <w:t>Board / C-suite narrative design and investor-ready strategy communication</w:t>
      </w:r>
    </w:p>
    <w:p>
      <w:pPr>
        <w:spacing w:before="200" w:after="4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PROFESSIONAL EXPERIENCE</w:t>
      </w:r>
    </w:p>
    <w:p>
      <w:pPr>
        <w:spacing w:before="80" w:after="0" w:line="259" w:lineRule="auto"/>
      </w:pPr>
      <w:r>
        <w:rPr>
          <w:rFonts w:ascii="Calibri" w:hAnsi="Calibri" w:eastAsia="Calibri"/>
          <w:b/>
          <w:i w:val="0"/>
          <w:sz w:val="21"/>
        </w:rPr>
        <w:t>Payoneer</w:t>
      </w:r>
      <w:r>
        <w:rPr>
          <w:rFonts w:ascii="Calibri" w:hAnsi="Calibri" w:eastAsia="Calibri"/>
          <w:b w:val="0"/>
          <w:i w:val="0"/>
          <w:sz w:val="21"/>
        </w:rPr>
        <w:t xml:space="preserve">  |  Strategy Director, China</w:t>
      </w:r>
    </w:p>
    <w:p>
      <w:pPr>
        <w:spacing w:before="0" w:after="60" w:line="259" w:lineRule="auto"/>
      </w:pPr>
      <w:r>
        <w:rPr>
          <w:rFonts w:ascii="Calibri" w:hAnsi="Calibri" w:eastAsia="Calibri"/>
          <w:b w:val="0"/>
          <w:i/>
          <w:sz w:val="19"/>
        </w:rPr>
        <w:t>Lead, China Strategy &amp; Revenue Operations</w:t>
      </w:r>
      <w:r>
        <w:rPr>
          <w:rFonts w:ascii="Calibri" w:hAnsi="Calibri" w:eastAsia="Calibri"/>
          <w:b w:val="0"/>
          <w:i w:val="0"/>
          <w:sz w:val="19"/>
        </w:rPr>
        <w:tab/>
        <w:t>2024.10 – Present</w:t>
      </w:r>
    </w:p>
    <w:p>
      <w:pPr>
        <w:spacing w:before="0" w:after="60" w:line="259" w:lineRule="auto"/>
      </w:pPr>
      <w:r>
        <w:rPr>
          <w:rFonts w:ascii="Calibri" w:hAnsi="Calibri" w:eastAsia="Calibri"/>
          <w:b w:val="0"/>
          <w:i w:val="0"/>
          <w:sz w:val="19"/>
        </w:rPr>
        <w:t>Leads China strategy, growth planning, analytics, and revenue-operations agenda for a global cross-border payments platform, spanning GTM, product economics, compliance/risk, banking, marketing technology, and global executive stakeholders.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Enterprise competitive &amp; policy response: </w:t>
      </w:r>
      <w:r>
        <w:rPr>
          <w:rFonts w:ascii="Calibri" w:hAnsi="Calibri" w:eastAsia="Calibri"/>
          <w:b w:val="0"/>
          <w:i w:val="0"/>
          <w:sz w:val="19"/>
        </w:rPr>
        <w:t>Directed China–U.S. tariff impact strategy—seller impact analysis, survey design, expert interviews, regulatory implications, mitigation roadmap, and executive messaging. Informed Corporate Strategy, Global Risk, CEO, Board, and IR channels.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Market &amp; profit-pool benchmarking: </w:t>
      </w:r>
      <w:r>
        <w:rPr>
          <w:rFonts w:ascii="Calibri" w:hAnsi="Calibri" w:eastAsia="Calibri"/>
          <w:b w:val="0"/>
          <w:i w:val="0"/>
          <w:sz w:val="19"/>
        </w:rPr>
        <w:t>Built the first comprehensive China profit-pool and market-share view as the analytical baseline for leadership prioritization and competitive discussion.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Customer &amp; competitive discovery: </w:t>
      </w:r>
      <w:r>
        <w:rPr>
          <w:rFonts w:ascii="Calibri" w:hAnsi="Calibri" w:eastAsia="Calibri"/>
          <w:b w:val="0"/>
          <w:i w:val="0"/>
          <w:sz w:val="19"/>
        </w:rPr>
        <w:t>Led China strategy customer-interview programs (~20 in-depth interviews) to identify differentiation opportunities; converted findings into “how to win” strategy narratives for global leadership forums.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ICP / segment strategy: </w:t>
      </w:r>
      <w:r>
        <w:rPr>
          <w:rFonts w:ascii="Calibri" w:hAnsi="Calibri" w:eastAsia="Calibri"/>
          <w:b w:val="0"/>
          <w:i w:val="0"/>
          <w:sz w:val="19"/>
        </w:rPr>
        <w:t>Led 2026 China growth planning and TrueICP strategy, aligning leadership around SME relevance, B2B needs, productization requirements, and a coherent business case for global product and executive stakeholders.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Product roadmap from fragmented asks: </w:t>
      </w:r>
      <w:r>
        <w:rPr>
          <w:rFonts w:ascii="Calibri" w:hAnsi="Calibri" w:eastAsia="Calibri"/>
          <w:b w:val="0"/>
          <w:i w:val="0"/>
          <w:sz w:val="19"/>
        </w:rPr>
        <w:t>Converted broad China product requests into a sequenced Phase 1 / Phase 2 roadmap across pricing, MarTech, tax refund, CLM, and ERP integration—modularizing features and preserving impact under resource constraints.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Quantified growth motions: </w:t>
      </w:r>
      <w:r>
        <w:rPr>
          <w:rFonts w:ascii="Calibri" w:hAnsi="Calibri" w:eastAsia="Calibri"/>
          <w:b w:val="0"/>
          <w:i w:val="0"/>
          <w:sz w:val="19"/>
        </w:rPr>
        <w:t>Identified and rallied leadership around the “Hidden Whale” opportunity (79 leads from 343 targets; 20 customers above $500K closed). Built Skuad WFM opportunity thesis and pilot (12 leads, 2 conversions by end of 2025).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Commercial / RevOps governance: </w:t>
      </w:r>
      <w:r>
        <w:rPr>
          <w:rFonts w:ascii="Calibri" w:hAnsi="Calibri" w:eastAsia="Calibri"/>
          <w:b w:val="0"/>
          <w:i w:val="0"/>
          <w:sz w:val="19"/>
        </w:rPr>
        <w:t>Designed segment-based 2026 target-setting and KPI architecture; led commission overspend diagnosis that reframed a $1.7M vs. $1.0M headline into ROI-backed governance.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AI / MarTech enablement: </w:t>
      </w:r>
      <w:r>
        <w:rPr>
          <w:rFonts w:ascii="Calibri" w:hAnsi="Calibri" w:eastAsia="Calibri"/>
          <w:b w:val="0"/>
          <w:i w:val="0"/>
          <w:sz w:val="19"/>
        </w:rPr>
        <w:t>Shaped AI-enabled sales and marketing operating model topics, including MarTech/AI resource and licensing governance tied to GTM productivity.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Executive influence: </w:t>
      </w:r>
      <w:r>
        <w:rPr>
          <w:rFonts w:ascii="Calibri" w:hAnsi="Calibri" w:eastAsia="Calibri"/>
          <w:b w:val="0"/>
          <w:i w:val="0"/>
          <w:sz w:val="19"/>
        </w:rPr>
        <w:t>Owned China business updates and strategy storylines for global leadership; recognized for structured thinking and raising the standard of leadership materials.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sz w:val="21"/>
        </w:rPr>
        <w:t>Bain &amp; Company</w:t>
      </w:r>
      <w:r>
        <w:rPr>
          <w:rFonts w:ascii="Calibri" w:hAnsi="Calibri" w:eastAsia="Calibri"/>
          <w:b w:val="0"/>
          <w:i w:val="0"/>
          <w:sz w:val="21"/>
        </w:rPr>
        <w:t xml:space="preserve">  |  Shanghai (2016–2020) · San Francisco (2021–2024)</w:t>
      </w:r>
    </w:p>
    <w:p>
      <w:pPr>
        <w:spacing w:before="0" w:after="60" w:line="259" w:lineRule="auto"/>
      </w:pPr>
      <w:r>
        <w:rPr>
          <w:rFonts w:ascii="Calibri" w:hAnsi="Calibri" w:eastAsia="Calibri"/>
          <w:b w:val="0"/>
          <w:i/>
          <w:sz w:val="18"/>
        </w:rPr>
        <w:t>Senior Manager 2023.07–2024.10  ·  Manager 2022.05–2023.06  ·  Consultant 2019.07–2022.04  ·  SAC 2018.06–2019.06  ·  AC 2016.10–2018.05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sz w:val="19"/>
        </w:rPr>
        <w:t>Fast-tracked to Senior Associate Consultant and Manager; member of North America TMT leadership team. Focused on technology operating strategy, GTM, new product launch, competitive / market analysis, M&amp;A, and investment diligence.</w:t>
      </w:r>
    </w:p>
    <w:p>
      <w:pPr>
        <w:spacing w:before="0" w:after="40" w:line="259" w:lineRule="auto"/>
      </w:pPr>
      <w:r>
        <w:rPr>
          <w:rFonts w:ascii="Calibri" w:hAnsi="Calibri" w:eastAsia="Calibri"/>
          <w:b/>
          <w:i w:val="0"/>
          <w:sz w:val="19"/>
        </w:rPr>
        <w:t>Selected AI &amp; competitive / commercial analysis work: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AI cloud business plan &amp; GTM: </w:t>
      </w:r>
      <w:r>
        <w:rPr>
          <w:rFonts w:ascii="Calibri" w:hAnsi="Calibri" w:eastAsia="Calibri"/>
          <w:b w:val="0"/>
          <w:i w:val="0"/>
          <w:sz w:val="19"/>
        </w:rPr>
        <w:t>Quantified enterprise AI IT spend, R&amp;D/application pain points, vertical use cases, and GenAI-driven private-cloud demand via CIO/CTO surveys, interviews, and industry benchmarking. Designed product architecture and GPU-heavy CapEx organization/investment structure; built 5-year customer-level P&amp;L.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Bain GenAI offering build: </w:t>
      </w:r>
      <w:r>
        <w:rPr>
          <w:rFonts w:ascii="Calibri" w:hAnsi="Calibri" w:eastAsia="Calibri"/>
          <w:b w:val="0"/>
          <w:i w:val="0"/>
          <w:sz w:val="19"/>
        </w:rPr>
        <w:t>Interviewed GenAI / data-architecture experts and OpenAI collaboration teams; developed GenAI consulting modules (use-case discovery, user/function definition, demo, data governance, implementation) and supported first digital-finance deployment.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AI semiconductor growth &amp; competitive mapping: </w:t>
      </w:r>
      <w:r>
        <w:rPr>
          <w:rFonts w:ascii="Calibri" w:hAnsi="Calibri" w:eastAsia="Calibri"/>
          <w:b w:val="0"/>
          <w:i w:val="0"/>
          <w:sz w:val="19"/>
        </w:rPr>
        <w:t>Sized AI and edge-compute chip markets; assessed competitiveness across machine-vision AI applications and value chains; mapped customers/partners, PEVC trends, and M&amp;A targets with China and global research.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AI data-center optical / HPC growth strategy: </w:t>
      </w:r>
      <w:r>
        <w:rPr>
          <w:rFonts w:ascii="Calibri" w:hAnsi="Calibri" w:eastAsia="Calibri"/>
          <w:b w:val="0"/>
          <w:i w:val="0"/>
          <w:sz w:val="19"/>
        </w:rPr>
        <w:t>Quantified large-model and AI data-center architecture-driven optical demand; analyzed Hyperscaler product mix; set 5-year strategy and supported M&amp;A to build technology/scale barriers.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HPC &amp; storage M&amp;A / valuation benchmarking: </w:t>
      </w:r>
      <w:r>
        <w:rPr>
          <w:rFonts w:ascii="Calibri" w:hAnsi="Calibri" w:eastAsia="Calibri"/>
          <w:b w:val="0"/>
          <w:i w:val="0"/>
          <w:sz w:val="19"/>
        </w:rPr>
        <w:t>Diagnosed valuation drivers via DCF and multiples benchmarking; screened acquisition targets; drove Board consensus on M&amp;A priorities across HPC, storage, and edge.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IaaS new-product growth engine: </w:t>
      </w:r>
      <w:r>
        <w:rPr>
          <w:rFonts w:ascii="Calibri" w:hAnsi="Calibri" w:eastAsia="Calibri"/>
          <w:b w:val="0"/>
          <w:i w:val="0"/>
          <w:sz w:val="19"/>
        </w:rPr>
        <w:t>Validated offering via user interviews; sized opportunity; refined persona, buying-center, and positioning with product and sales. New product generated $100M+ revenue within one year of launch.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Autonomous-driving competitive strategy (China): </w:t>
      </w:r>
      <w:r>
        <w:rPr>
          <w:rFonts w:ascii="Calibri" w:hAnsi="Calibri" w:eastAsia="Calibri"/>
          <w:b w:val="0"/>
          <w:i w:val="0"/>
          <w:sz w:val="19"/>
        </w:rPr>
        <w:t>Prioritized L3/L4 scenarios; forecast China L4 market vs. U.S.; mapped 2030 business models and profit-pool allocation; defined localization and partnership strategy enabling collaboration with a domestic AV tech company.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20+ PE diligence &amp; sector scans: </w:t>
      </w:r>
      <w:r>
        <w:rPr>
          <w:rFonts w:ascii="Calibri" w:hAnsi="Calibri" w:eastAsia="Calibri"/>
          <w:b w:val="0"/>
          <w:i w:val="0"/>
          <w:sz w:val="19"/>
        </w:rPr>
        <w:t>Focused on enterprise SaaS and AI vertical applications; plus $2.6B B2B payments privatization diligence covering customer health, competitive position, growth triangulation, and GTM-driven EBITDA opportunities.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Digital marketing productization (Greater China): </w:t>
      </w:r>
      <w:r>
        <w:rPr>
          <w:rFonts w:ascii="Calibri" w:hAnsi="Calibri" w:eastAsia="Calibri"/>
          <w:b w:val="0"/>
          <w:i w:val="0"/>
          <w:sz w:val="19"/>
        </w:rPr>
        <w:t>Partnered with a leading e-commerce platform to build Bain’s digital marketing IP; first commercial project improved brand digital marketing ROI by 30%; 15+ digital projects subsequently delivered.</w:t>
      </w:r>
    </w:p>
    <w:p>
      <w:pPr>
        <w:spacing w:before="200" w:after="4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EDUCATION</w:t>
      </w:r>
    </w:p>
    <w:p>
      <w:pPr>
        <w:spacing w:before="0" w:after="20" w:line="259" w:lineRule="auto"/>
      </w:pPr>
      <w:r>
        <w:rPr>
          <w:rFonts w:ascii="Calibri" w:hAnsi="Calibri" w:eastAsia="Calibri"/>
          <w:b/>
          <w:i w:val="0"/>
          <w:sz w:val="19"/>
        </w:rPr>
        <w:t>MBA, Kellogg School of Management, Northwestern University</w:t>
      </w:r>
      <w:r>
        <w:rPr>
          <w:rFonts w:ascii="Calibri" w:hAnsi="Calibri" w:eastAsia="Calibri"/>
          <w:b w:val="0"/>
          <w:i w:val="0"/>
          <w:sz w:val="19"/>
        </w:rPr>
        <w:t xml:space="preserve">  —  2021  |  Vice President, AI Association</w:t>
      </w:r>
    </w:p>
    <w:p>
      <w:pPr>
        <w:spacing w:before="0" w:after="40" w:line="259" w:lineRule="auto"/>
      </w:pPr>
      <w:r>
        <w:rPr>
          <w:rFonts w:ascii="Calibri" w:hAnsi="Calibri" w:eastAsia="Calibri"/>
          <w:b/>
          <w:i w:val="0"/>
          <w:sz w:val="19"/>
        </w:rPr>
        <w:t>B.S., University of California, Berkeley</w:t>
      </w:r>
      <w:r>
        <w:rPr>
          <w:rFonts w:ascii="Calibri" w:hAnsi="Calibri" w:eastAsia="Calibri"/>
          <w:b w:val="0"/>
          <w:i w:val="0"/>
          <w:sz w:val="19"/>
        </w:rPr>
        <w:t xml:space="preserve">  —  2016</w:t>
      </w:r>
    </w:p>
    <w:p>
      <w:pPr>
        <w:spacing w:before="200" w:after="4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SELECTED LEADERSHIP PROOF POINTS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Competitive / policy strategy: </w:t>
      </w:r>
      <w:r>
        <w:rPr>
          <w:rFonts w:ascii="Calibri" w:hAnsi="Calibri" w:eastAsia="Calibri"/>
          <w:b w:val="0"/>
          <w:i w:val="0"/>
          <w:sz w:val="19"/>
        </w:rPr>
        <w:t>Led China–U.S. tariff response from analytical design through CEO, Board, regulatory, and IR implications.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Growth from insight: </w:t>
      </w:r>
      <w:r>
        <w:rPr>
          <w:rFonts w:ascii="Calibri" w:hAnsi="Calibri" w:eastAsia="Calibri"/>
          <w:b w:val="0"/>
          <w:i w:val="0"/>
          <w:sz w:val="19"/>
        </w:rPr>
        <w:t>Hidden Whale: 79 leads / 343 targets; 20 customers &gt;$500K closed.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AI commercial design: </w:t>
      </w:r>
      <w:r>
        <w:rPr>
          <w:rFonts w:ascii="Calibri" w:hAnsi="Calibri" w:eastAsia="Calibri"/>
          <w:b w:val="0"/>
          <w:i w:val="0"/>
          <w:sz w:val="19"/>
        </w:rPr>
        <w:t>AI cloud P&amp;L, CapEx architecture, and vertical GTM for private-cloud AI entry.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Product strategy: </w:t>
      </w:r>
      <w:r>
        <w:rPr>
          <w:rFonts w:ascii="Calibri" w:hAnsi="Calibri" w:eastAsia="Calibri"/>
          <w:b w:val="0"/>
          <w:i w:val="0"/>
          <w:sz w:val="19"/>
        </w:rPr>
        <w:t>Fragmented China asks → sequenced pricing / MarTech / CLM / ERP roadmap.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New product GTM: </w:t>
      </w:r>
      <w:r>
        <w:rPr>
          <w:rFonts w:ascii="Calibri" w:hAnsi="Calibri" w:eastAsia="Calibri"/>
          <w:b w:val="0"/>
          <w:i w:val="0"/>
          <w:sz w:val="19"/>
        </w:rPr>
        <w:t>IaaS launch contributing $100M+ revenue in year one.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 w:eastAsia="Calibri"/>
          <w:b/>
          <w:i w:val="0"/>
          <w:sz w:val="19"/>
        </w:rPr>
        <w:t xml:space="preserve">Diligence depth: </w:t>
      </w:r>
      <w:r>
        <w:rPr>
          <w:rFonts w:ascii="Calibri" w:hAnsi="Calibri" w:eastAsia="Calibri"/>
          <w:b w:val="0"/>
          <w:i w:val="0"/>
          <w:sz w:val="19"/>
        </w:rPr>
        <w:t>20+ SaaS / AI vertical PE scans; $2.6B B2B payments privatization diligence.</w:t>
      </w:r>
    </w:p>
    <w:p>
      <w:pPr>
        <w:spacing w:before="200" w:after="4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ADDITIONAL</w:t>
      </w:r>
    </w:p>
    <w:p>
      <w:pPr>
        <w:spacing w:before="0" w:after="0" w:line="259" w:lineRule="auto"/>
      </w:pPr>
      <w:r>
        <w:rPr>
          <w:rFonts w:ascii="Calibri" w:hAnsi="Calibri" w:eastAsia="Calibri"/>
          <w:b w:val="0"/>
          <w:i w:val="0"/>
          <w:sz w:val="19"/>
        </w:rPr>
        <w:t>Advisor to AI / robotics startups (e.g., 柔灵科技, 深涌智能) on strategy and go-to-market. Interests: sailing (ASA bareboat cruising), triathlon; former Bain China soccer team captain.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