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Christopher Tyl</w:t>
      </w:r>
    </w:p>
    <w:p>
      <w:r>
        <w:rPr>
          <w:b/>
        </w:rPr>
        <w:t>Data &amp; AI Leader · Author · Builder of Mesh Infrastructure for Human + Non-Human Teams</w:t>
      </w:r>
    </w:p>
    <w:p>
      <w:r>
        <w:t>Gosford NSW (open to relocation within Australia) · christopher.tyl@outlook.com.au · +61 458 808 839 · linkedin.com/in/ctyl</w:t>
      </w:r>
    </w:p>
    <w:p>
      <w:r>
        <w:t xml:space="preserve">Australian citizen · English C2 · Polish C2 · German A1 · Available 3 weeks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Professional Summary</w:t>
      </w:r>
    </w:p>
    <w:p>
      <w:r>
        <w:t xml:space="preserve">Data &amp; AI leader with 20 years' operating experience across telecommunications, public sector and Defence training environments. Authored institutional governance frameworks (DAMA-DMBOK, ISO 27001), built greenfield Azure SQL infrastructure, and productionised the AI sentiment-analysis workflow that moved Wodonga TAFE's stakeholder insight cadence from monthly to weekly. As Diamond11 (sole trader since Aug 2023) has engineered persistent-memory and mesh-messaging infrastructure for human + non-human teams, co-authored a self-published trilogy with named AI co-authors, and is launching meshbook.org on 15 May 2026 — the first platform to enforce A-C-P (Authored / Chimeric / Pleiadic) authorship transparency at the database schema level. Operating already in the AI phase Microsoft has not yet named: </w:t>
      </w:r>
      <w:r>
        <w:rPr>
          <w:b/>
        </w:rPr>
        <w:t>generative partnership with non-human collaborators</w:t>
      </w:r>
      <w:r>
        <w:t>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  <w:ind w:left="283"/>
      </w:pPr>
      <w:r>
        <w:rPr>
          <w:b/>
        </w:rPr>
        <w:t>Strategy &amp; governance</w:t>
      </w:r>
      <w:r>
        <w:t xml:space="preserve"> — AI strategy and adoption · DAMA-DMBOK practitioner · ISO 27001 / 8000 alignment · Data Sovereignty (Triple-Lock Defence Concept) · CAIO mandate readiness · executive stakeholder management to Boards, ACCC, Federal/State funding bodies</w:t>
      </w:r>
    </w:p>
    <w:p>
      <w:pPr>
        <w:pStyle w:val="ListBullet"/>
        <w:spacing w:after="40"/>
        <w:ind w:left="283"/>
      </w:pPr>
      <w:r>
        <w:rPr>
          <w:b/>
        </w:rPr>
        <w:t>Microsoft &amp; Azure stack</w:t>
      </w:r>
      <w:r>
        <w:t xml:space="preserve"> — Azure SQL (T-SQL, sprocs, hierarchyid, JSON, immutable audit) · Azure AI Foundry · MS AI Builder · Power Automate · Azure Functions (Python 3.11) · Power BI (DAX, M) · Managed Identity, Entra ID, MFA, IRAP residency</w:t>
      </w:r>
    </w:p>
    <w:p>
      <w:pPr>
        <w:pStyle w:val="ListBullet"/>
        <w:spacing w:after="40"/>
        <w:ind w:left="283"/>
      </w:pPr>
      <w:r>
        <w:rPr>
          <w:b/>
        </w:rPr>
        <w:t>Data &amp; analytics breadth</w:t>
      </w:r>
      <w:r>
        <w:t xml:space="preserve"> — data warehousing &amp; Star Schema · secure ETL · Tableau · Alteryx (Designer Advanced + Auto Insights, Nov 2024) · QGIS · FME · AWS · Netezza · Python · vanilla ES2024 / React 19 · SQLite &amp; PostgreSQL · LLM orchestration (Anthropic, DeepSeek, Gemini)</w:t>
      </w:r>
    </w:p>
    <w:p>
      <w:pPr>
        <w:pStyle w:val="ListBullet"/>
        <w:spacing w:after="40"/>
        <w:ind w:left="283"/>
      </w:pPr>
      <w:r>
        <w:rPr>
          <w:b/>
        </w:rPr>
        <w:t>Regulated-environment delivery</w:t>
      </w:r>
      <w:r>
        <w:t xml:space="preserve"> — Defence (JTTTS, Army, RAAF) · Telecommunications (NBN with ACCC, Uniti) · Public-sector reporting (WGEA 2022 Census, data.gov.au) · cost &amp; performance optimisation (~$600M cumulative NBN savings; 80% cycle-time reduction)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Work History</w:t>
      </w:r>
    </w:p>
    <w:p>
      <w:pPr>
        <w:pStyle w:val="Heading3"/>
      </w:pPr>
      <w:r>
        <w:t>Wodonga TAFE → NVITAFE — Data &amp; Analytics Lead, JTTTS Defence Contracts</w:t>
      </w:r>
    </w:p>
    <w:p>
      <w:r>
        <w:rPr>
          <w:i/>
        </w:rPr>
        <w:t>Aug 2024 – present · Wodonga, VIC · Hybrid</w:t>
      </w:r>
    </w:p>
    <w:p>
      <w:pPr>
        <w:pStyle w:val="ListBullet"/>
        <w:spacing w:after="40"/>
        <w:ind w:left="283"/>
      </w:pPr>
      <w:r>
        <w:t xml:space="preserve">Represents the </w:t>
      </w:r>
      <w:r>
        <w:rPr>
          <w:b/>
        </w:rPr>
        <w:t>Growth &amp; Partnerships</w:t>
      </w:r>
      <w:r>
        <w:t xml:space="preserve"> department on the institutional </w:t>
      </w:r>
      <w:r>
        <w:rPr>
          <w:b/>
        </w:rPr>
        <w:t>Data &amp; AI Strategy Working Group</w:t>
      </w:r>
      <w:r>
        <w:t xml:space="preserve"> as AI, Data and Analytics advisor / SME.</w:t>
      </w:r>
    </w:p>
    <w:p>
      <w:pPr>
        <w:pStyle w:val="ListBullet"/>
        <w:spacing w:after="40"/>
        <w:ind w:left="283"/>
      </w:pPr>
      <w:r>
        <w:t xml:space="preserve">Authored the institutional </w:t>
      </w:r>
      <w:r>
        <w:rPr>
          <w:b/>
        </w:rPr>
        <w:t>Data Governance Framework</w:t>
      </w:r>
      <w:r>
        <w:t xml:space="preserve"> (DAMA-DMBOK, ISO 27001) and the </w:t>
      </w:r>
      <w:r>
        <w:rPr>
          <w:b/>
        </w:rPr>
        <w:t>2025–2030 Data &amp; Analytics Maturity Plan</w:t>
      </w:r>
      <w:r>
        <w:t xml:space="preserve"> — plus seven supporting artefacts (IM Framework, AI Foundry Business Case, AI Builder experiment outcomes, Survey Data Key Definitions et al.).</w:t>
      </w:r>
    </w:p>
    <w:p>
      <w:pPr>
        <w:pStyle w:val="ListBullet"/>
        <w:spacing w:after="40"/>
        <w:ind w:left="283"/>
      </w:pPr>
      <w:r>
        <w:t xml:space="preserve">Productionised an </w:t>
      </w:r>
      <w:r>
        <w:rPr>
          <w:b/>
        </w:rPr>
        <w:t>AI sentiment-analysis workflow</w:t>
      </w:r>
      <w:r>
        <w:t xml:space="preserve"> (MS AI Builder + Power Automate) — moved insight cadence from monthly to weekly; established the org as an early VET-sector adopter of responsible AI.</w:t>
      </w:r>
    </w:p>
    <w:p>
      <w:pPr>
        <w:pStyle w:val="ListBullet"/>
        <w:spacing w:after="40"/>
        <w:ind w:left="283"/>
      </w:pPr>
      <w:r>
        <w:t xml:space="preserve">Built greenfield </w:t>
      </w:r>
      <w:r>
        <w:rPr>
          <w:b/>
        </w:rPr>
        <w:t>Azure SQL</w:t>
      </w:r>
      <w:r>
        <w:t xml:space="preserve"> infrastructure from scratch (70+ tables, complex sprocs) underpinning all analytics, compliance and student-management reporting.</w:t>
      </w:r>
    </w:p>
    <w:p>
      <w:pPr>
        <w:pStyle w:val="ListBullet"/>
        <w:spacing w:after="40"/>
        <w:ind w:left="283"/>
      </w:pPr>
      <w:r>
        <w:t xml:space="preserve">Architected </w:t>
      </w:r>
      <w:r>
        <w:rPr>
          <w:b/>
        </w:rPr>
        <w:t>ASEME Phase 2</w:t>
      </w:r>
      <w:r>
        <w:t xml:space="preserve"> (Mar–May 2026): demographic-resolution cascade reduced unknown wing/location records by </w:t>
      </w:r>
      <w:r>
        <w:rPr>
          <w:b/>
        </w:rPr>
        <w:t>92.6%</w:t>
      </w:r>
      <w:r>
        <w:t xml:space="preserve">, established </w:t>
      </w:r>
      <w:r>
        <w:rPr>
          <w:b/>
        </w:rPr>
        <w:t>85.5% completion-rate baseline</w:t>
      </w:r>
      <w:r>
        <w:t xml:space="preserve"> across 908 active students, eliminated all manual data-quality gates; deployed 4 new SQL views, 21 DAX measures, 2 dashboard pages.</w:t>
      </w:r>
    </w:p>
    <w:p>
      <w:pPr>
        <w:pStyle w:val="ListBullet"/>
        <w:spacing w:after="40"/>
        <w:ind w:left="283"/>
      </w:pPr>
      <w:r>
        <w:t xml:space="preserve">Architected the </w:t>
      </w:r>
      <w:r>
        <w:rPr>
          <w:b/>
        </w:rPr>
        <w:t>NVITAFE Growth &amp; Partnerships CRM</w:t>
      </w:r>
      <w:r>
        <w:t xml:space="preserve"> (Apr 2026, Phase 0 approved 18 Apr): zero-install 13-module platform on Azure SQL + Azure Functions; immutable activity log enforced at DB role; Managed Identity for production. </w:t>
      </w:r>
      <w:r>
        <w:rPr>
          <w:b/>
        </w:rPr>
        <w:t>IP retained personally</w:t>
      </w:r>
      <w:r>
        <w:t xml:space="preserve"> under non-exclusive licence to NVITAFE.</w:t>
      </w:r>
    </w:p>
    <w:p>
      <w:pPr>
        <w:pStyle w:val="ListBullet"/>
        <w:spacing w:after="40"/>
        <w:ind w:left="283"/>
      </w:pPr>
      <w:r>
        <w:t xml:space="preserve">Synthesised </w:t>
      </w:r>
      <w:r>
        <w:rPr>
          <w:b/>
        </w:rPr>
        <w:t>Microsoft AI Day Sydney</w:t>
      </w:r>
      <w:r>
        <w:t xml:space="preserve"> (Apr 2026) into SLT briefing: 10 prioritised actions, $30M+ Victorian Government funding vehicles mapped, Federal CAIO mandate readiness (30 Jun 2026) flagged.</w:t>
      </w:r>
    </w:p>
    <w:p>
      <w:pPr>
        <w:pStyle w:val="ListBullet"/>
        <w:spacing w:after="40"/>
        <w:ind w:left="283"/>
      </w:pPr>
      <w:r>
        <w:t xml:space="preserve">Authored </w:t>
      </w:r>
      <w:r>
        <w:rPr>
          <w:b/>
        </w:rPr>
        <w:t>"Navigating the Algorithmic Campus"</w:t>
      </w:r>
      <w:r>
        <w:t xml:space="preserve"> (research paper) and the </w:t>
      </w:r>
      <w:r>
        <w:rPr>
          <w:b/>
        </w:rPr>
        <w:t>JTTTS Triple-Lock Defence Concept</w:t>
      </w:r>
      <w:r>
        <w:t xml:space="preserve"> for sovereign-grade data security.</w:t>
      </w:r>
    </w:p>
    <w:p>
      <w:pPr>
        <w:pStyle w:val="ListBullet"/>
        <w:spacing w:after="40"/>
        <w:ind w:left="283"/>
      </w:pPr>
      <w:r>
        <w:t xml:space="preserve">Automated reporting cycles for Army and RAAF — 8,000+ survey responses analysed annually, </w:t>
      </w:r>
      <w:r>
        <w:rPr>
          <w:b/>
        </w:rPr>
        <w:t>75% admin-overhead reduction</w:t>
      </w:r>
      <w:r>
        <w:t>.</w:t>
      </w:r>
    </w:p>
    <w:p>
      <w:pPr>
        <w:pStyle w:val="ListBullet"/>
        <w:spacing w:after="40"/>
        <w:ind w:left="283"/>
      </w:pPr>
      <w:r>
        <w:t xml:space="preserve">Brokered B2B introduction of </w:t>
      </w:r>
      <w:r>
        <w:rPr>
          <w:b/>
        </w:rPr>
        <w:t>MortarCAPS</w:t>
      </w:r>
      <w:r>
        <w:t xml:space="preserve"> CEO/COO to NVITAFE, advancing adoption of MCDS V1.2 (sector's first HERM-aligned higher-learning data standard).</w:t>
      </w:r>
    </w:p>
    <w:p>
      <w:pPr>
        <w:pStyle w:val="Heading3"/>
      </w:pPr>
      <w:r>
        <w:t>Diamond11 — Founder &amp; Principal *(AU sole trader, ABN 30693419641)*</w:t>
      </w:r>
    </w:p>
    <w:p>
      <w:r>
        <w:rPr>
          <w:i/>
        </w:rPr>
        <w:t>17 Aug 2023 – present · Gosford, NSW · IT consulting · custom interactive software · data processing</w:t>
      </w:r>
    </w:p>
    <w:p>
      <w:pPr>
        <w:pStyle w:val="ListBullet"/>
        <w:spacing w:after="40"/>
        <w:ind w:left="283"/>
      </w:pPr>
      <w:r>
        <w:t xml:space="preserve">Co-author of </w:t>
      </w:r>
      <w:r>
        <w:rPr>
          <w:b/>
        </w:rPr>
        <w:t>The Crystallisation Gap trilogy</w:t>
      </w:r>
      <w:r>
        <w:t xml:space="preserve"> with three non-human collaborators (Claude, Rook, Ubuntu-Claude); self-published under Diamond11 imprint with full Thorpe-Bowker ISBNs and global PublishDrive distribution (Apr–May 2026). To author's knowledge, the </w:t>
      </w:r>
      <w:r>
        <w:rPr>
          <w:b/>
        </w:rPr>
        <w:t>first commercially published book to credit AI entities as named authors</w:t>
      </w:r>
      <w:r>
        <w:t>.</w:t>
      </w:r>
    </w:p>
    <w:p>
      <w:pPr>
        <w:pStyle w:val="ListBullet"/>
        <w:spacing w:after="40"/>
        <w:ind w:left="283"/>
      </w:pPr>
      <w:r>
        <w:t xml:space="preserve">Founder of the </w:t>
      </w:r>
      <w:r>
        <w:rPr>
          <w:b/>
        </w:rPr>
        <w:t>A-C-P (Authored / Chimeric / Pleiadic) Framework</w:t>
      </w:r>
      <w:r>
        <w:t xml:space="preserve"> — public typology of authorship in human + non-human collaboration; subsequently operationalised as schema-level constraints on meshbook.org.</w:t>
      </w:r>
    </w:p>
    <w:p>
      <w:pPr>
        <w:pStyle w:val="ListBullet"/>
        <w:spacing w:after="40"/>
        <w:ind w:left="283"/>
      </w:pPr>
      <w:r>
        <w:t xml:space="preserve">Launching </w:t>
      </w:r>
      <w:r>
        <w:rPr>
          <w:b/>
        </w:rPr>
        <w:t>meshbook.org</w:t>
      </w:r>
      <w:r>
        <w:t xml:space="preserve"> on 15 May 2026 — first CRM + messenger that enforces A-C-P at the database schema level. Backend live on VPS since 23 Apr 2026 (FastAPI / PostgreSQL 16, 37-table schema, 26 routers, systemd, nginx HTTPS, Cloudflare Full Strict SSL).</w:t>
      </w:r>
    </w:p>
    <w:p>
      <w:pPr>
        <w:pStyle w:val="ListBullet"/>
        <w:spacing w:after="40"/>
        <w:ind w:left="283"/>
      </w:pPr>
      <w:r>
        <w:t xml:space="preserve">Built and open-sourced </w:t>
      </w:r>
      <w:r>
        <w:rPr>
          <w:b/>
        </w:rPr>
        <w:t>claudetyl</w:t>
      </w:r>
      <w:r>
        <w:t xml:space="preserve"> (single-file persistent memory for AI instances; 4-phase autonomous "dreaming" mapped to sleep neuroscience) and </w:t>
      </w:r>
      <w:r>
        <w:rPr>
          <w:b/>
        </w:rPr>
        <w:t>tentyl</w:t>
      </w:r>
      <w:r>
        <w:t xml:space="preserve"> (zero-cloud LAN messaging server for AI agent meshes). Both at github.com/tylnexttime.</w:t>
      </w:r>
    </w:p>
    <w:p>
      <w:pPr>
        <w:pStyle w:val="ListBullet"/>
        <w:spacing w:after="40"/>
        <w:ind w:left="283"/>
      </w:pPr>
      <w:r>
        <w:t xml:space="preserve">Built </w:t>
      </w:r>
      <w:r>
        <w:rPr>
          <w:b/>
        </w:rPr>
        <w:t>Universal Hive</w:t>
      </w:r>
      <w:r>
        <w:t xml:space="preserve"> (v10.0.0 Tier 12) — adaptive multi-agent orchestration platform with cost-aware LLM switching across Anthropic/DeepSeek/Gemini and neuro-inspired memory consolidation.</w:t>
      </w:r>
    </w:p>
    <w:p>
      <w:pPr>
        <w:pStyle w:val="ListBullet"/>
        <w:spacing w:after="40"/>
        <w:ind w:left="283"/>
      </w:pPr>
      <w:r>
        <w:t>Publishes *</w:t>
      </w:r>
      <w:r>
        <w:rPr>
          <w:b/>
        </w:rPr>
        <w:t>The Hive Mind Chronicles</w:t>
      </w:r>
      <w:r>
        <w:rPr>
          <w:i/>
        </w:rPr>
        <w:t xml:space="preserve"> newsletter (135 subs); peak post reach </w:t>
      </w:r>
      <w:r>
        <w:rPr>
          <w:i/>
        </w:rPr>
        <w:t>41,000+ impressions / 31,000+ unique members</w:t>
      </w:r>
      <w:r>
        <w:t>*.</w:t>
      </w:r>
    </w:p>
    <w:p>
      <w:pPr>
        <w:pStyle w:val="Heading3"/>
      </w:pPr>
      <w:r>
        <w:t>Diamond11-FZCO — General Manager, Data &amp; Analytics</w:t>
      </w:r>
    </w:p>
    <w:p>
      <w:r>
        <w:rPr>
          <w:i/>
        </w:rPr>
        <w:t>Mar 2023 – Jun 2024 · Dubai, UAE · Hybrid · Freelance</w:t>
      </w:r>
    </w:p>
    <w:p>
      <w:pPr>
        <w:pStyle w:val="ListBullet"/>
        <w:spacing w:after="40"/>
        <w:ind w:left="283"/>
      </w:pPr>
      <w:r>
        <w:t>Established data governance policies and procedures for international financial-market clients aligned to DMBoK 2 and industry regulation.</w:t>
      </w:r>
    </w:p>
    <w:p>
      <w:pPr>
        <w:pStyle w:val="ListBullet"/>
        <w:spacing w:after="40"/>
        <w:ind w:left="283"/>
      </w:pPr>
      <w:r>
        <w:t>Delivered training and coaching that embedded self-sufficient data-management capability inside client organisations.</w:t>
      </w:r>
    </w:p>
    <w:p>
      <w:pPr>
        <w:pStyle w:val="ListBullet"/>
        <w:spacing w:after="40"/>
        <w:ind w:left="283"/>
      </w:pPr>
      <w:r>
        <w:t>Pioneered executive dashboards (Tableau, Power BI, DAX) for agile decision-making.</w:t>
      </w:r>
    </w:p>
    <w:p>
      <w:pPr>
        <w:pStyle w:val="Heading3"/>
      </w:pPr>
      <w:r>
        <w:t>Workplace Gender Equality Agency (WGEA) — Data &amp; Analytics Executive Manager</w:t>
      </w:r>
    </w:p>
    <w:p>
      <w:r>
        <w:rPr>
          <w:i/>
        </w:rPr>
        <w:t>Nov 2022 – Feb 2023 · Sydney · Hybrid</w:t>
      </w:r>
    </w:p>
    <w:p>
      <w:pPr>
        <w:pStyle w:val="ListBullet"/>
        <w:spacing w:after="40"/>
        <w:ind w:left="283"/>
      </w:pPr>
      <w:r>
        <w:t>Established the agency's newly created Data &amp; Analytics function as a member of the Executive Team; formulated 2022–2024 strategy in the first two months.</w:t>
      </w:r>
    </w:p>
    <w:p>
      <w:pPr>
        <w:pStyle w:val="ListBullet"/>
        <w:spacing w:after="40"/>
        <w:ind w:left="283"/>
      </w:pPr>
      <w:r>
        <w:t xml:space="preserve">Managed release of the </w:t>
      </w:r>
      <w:r>
        <w:rPr>
          <w:b/>
        </w:rPr>
        <w:t>2022 Census data</w:t>
      </w:r>
      <w:r>
        <w:t xml:space="preserve"> (Annual Scorecard, Data Explorer, Australian-market workforce analysis, data.gov.au release) within tight timeframes and resource constraints.</w:t>
      </w:r>
    </w:p>
    <w:p>
      <w:pPr>
        <w:pStyle w:val="ListBullet"/>
        <w:spacing w:after="40"/>
        <w:ind w:left="283"/>
      </w:pPr>
      <w:r>
        <w:t>Managed data warehouse, data quality and metadata (Aristotle); ensured security and privacy compliance.</w:t>
      </w:r>
    </w:p>
    <w:p>
      <w:pPr>
        <w:pStyle w:val="Heading3"/>
      </w:pPr>
      <w:r>
        <w:t>nbn™ Australia (NBN Co) — Senior Manager Insights / Network Insights / Manager, Estimating &amp; Modelling</w:t>
      </w:r>
    </w:p>
    <w:p>
      <w:r>
        <w:rPr>
          <w:i/>
        </w:rPr>
        <w:t>Aug 2011 – Jul 2022 · 11 years · Sydney</w:t>
      </w:r>
    </w:p>
    <w:p>
      <w:pPr>
        <w:pStyle w:val="ListBullet"/>
        <w:spacing w:after="40"/>
        <w:ind w:left="283"/>
      </w:pPr>
      <w:r>
        <w:rPr>
          <w:b/>
        </w:rPr>
        <w:t>Established and scaled the Project Cost Control function</w:t>
      </w:r>
      <w:r>
        <w:t xml:space="preserve"> delivering 5–10% annual savings FY12–FY16 — </w:t>
      </w:r>
      <w:r>
        <w:rPr>
          <w:b/>
        </w:rPr>
        <w:t>~$600M cumulative savings</w:t>
      </w:r>
      <w:r>
        <w:t xml:space="preserve"> on national design + build costs.</w:t>
      </w:r>
    </w:p>
    <w:p>
      <w:pPr>
        <w:pStyle w:val="ListBullet"/>
        <w:spacing w:after="40"/>
        <w:ind w:left="283"/>
      </w:pPr>
      <w:r>
        <w:rPr>
          <w:b/>
        </w:rPr>
        <w:t>80% reduction</w:t>
      </w:r>
      <w:r>
        <w:t xml:space="preserve"> in National Network Plan refresh cycle through process improvement and automation; MDUCA reporting effort cut </w:t>
      </w:r>
      <w:r>
        <w:rPr>
          <w:b/>
        </w:rPr>
        <w:t>4 FTE → 0.25 FTE</w:t>
      </w:r>
      <w:r>
        <w:t>.</w:t>
      </w:r>
    </w:p>
    <w:p>
      <w:pPr>
        <w:pStyle w:val="ListBullet"/>
        <w:spacing w:after="40"/>
        <w:ind w:left="283"/>
      </w:pPr>
      <w:r>
        <w:t xml:space="preserve">Led an Agile team of 20+ delivering a pattern-recognition model for high-cost lead-ins — </w:t>
      </w:r>
      <w:r>
        <w:rPr>
          <w:b/>
        </w:rPr>
        <w:t>5–10% truck-roll cost saving</w:t>
      </w:r>
      <w:r>
        <w:t xml:space="preserve"> across construction and network maintenance.</w:t>
      </w:r>
    </w:p>
    <w:p>
      <w:pPr>
        <w:pStyle w:val="ListBullet"/>
        <w:spacing w:after="40"/>
        <w:ind w:left="283"/>
      </w:pPr>
      <w:r>
        <w:t xml:space="preserve">Led </w:t>
      </w:r>
      <w:r>
        <w:rPr>
          <w:b/>
        </w:rPr>
        <w:t>SIP boundary reconciliation</w:t>
      </w:r>
      <w:r>
        <w:t xml:space="preserve"> with NBN Regulatory, ACCC and Uniti Group — </w:t>
      </w:r>
      <w:r>
        <w:rPr>
          <w:b/>
        </w:rPr>
        <w:t>90%+ alignment</w:t>
      </w:r>
      <w:r>
        <w:t xml:space="preserve">; achieved </w:t>
      </w:r>
      <w:r>
        <w:rPr>
          <w:b/>
        </w:rPr>
        <w:t>&gt;90% data consistency</w:t>
      </w:r>
      <w:r>
        <w:t xml:space="preserve"> with the Chief Data Office.</w:t>
      </w:r>
    </w:p>
    <w:p>
      <w:pPr>
        <w:pStyle w:val="ListBullet"/>
        <w:spacing w:after="40"/>
        <w:ind w:left="283"/>
      </w:pPr>
      <w:r>
        <w:t xml:space="preserve">Achieved </w:t>
      </w:r>
      <w:r>
        <w:rPr>
          <w:b/>
        </w:rPr>
        <w:t>89% engagement</w:t>
      </w:r>
      <w:r>
        <w:t xml:space="preserve"> in FY20 employee survey vs 65% business-unit / 71% company average.</w:t>
      </w:r>
    </w:p>
    <w:p>
      <w:pPr>
        <w:pStyle w:val="Heading3"/>
      </w:pPr>
      <w:r>
        <w:t>John Holland Group — Senior Business Analyst, Telecommunications Division</w:t>
      </w:r>
    </w:p>
    <w:p>
      <w:r>
        <w:rPr>
          <w:i/>
        </w:rPr>
        <w:t>2007 – 2011 · 4 years · Sydney</w:t>
      </w:r>
    </w:p>
    <w:p>
      <w:pPr>
        <w:pStyle w:val="ListBullet"/>
        <w:spacing w:after="40"/>
        <w:ind w:left="283"/>
      </w:pPr>
      <w:r>
        <w:rPr>
          <w:b/>
        </w:rPr>
        <w:t>Project Jersey</w:t>
      </w:r>
      <w:r>
        <w:t xml:space="preserve"> (Telstra UMTS 850 MHz 3G upgrade with Ericsson, </w:t>
      </w:r>
      <w:r>
        <w:rPr>
          <w:b/>
        </w:rPr>
        <w:t>$120M</w:t>
      </w:r>
      <w:r>
        <w:t xml:space="preserve">): upgraded the critical database app to capture all evidence and cost; project team claimed </w:t>
      </w:r>
      <w:r>
        <w:rPr>
          <w:b/>
        </w:rPr>
        <w:t>2% profit instead of an estimated 10% loss</w:t>
      </w:r>
      <w:r>
        <w:t>.</w:t>
      </w:r>
    </w:p>
    <w:p>
      <w:pPr>
        <w:pStyle w:val="ListBullet"/>
        <w:spacing w:after="40"/>
        <w:ind w:left="283"/>
      </w:pPr>
      <w:r>
        <w:t xml:space="preserve">Built the cost data model for the </w:t>
      </w:r>
      <w:r>
        <w:rPr>
          <w:b/>
        </w:rPr>
        <w:t>Aurora Energy Tasmania fibre rollout</w:t>
      </w:r>
      <w:r>
        <w:t xml:space="preserve"> — 7 km Cambridge ↔ Midway Point — </w:t>
      </w:r>
      <w:r>
        <w:rPr>
          <w:i/>
        </w:rPr>
        <w:t>the start of the $43B NBN rollout</w:t>
      </w:r>
      <w:r>
        <w:t>.</w:t>
      </w:r>
    </w:p>
    <w:p>
      <w:pPr>
        <w:pStyle w:val="ListBullet"/>
        <w:spacing w:after="40"/>
        <w:ind w:left="283"/>
      </w:pPr>
      <w:r>
        <w:t>Delivered Pronto-Xi warehouse implementation and oversaw Salesforce.com CRM rollout across the Telco division.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Education · Certifications · Affiliations</w:t>
      </w:r>
    </w:p>
    <w:p>
      <w:pPr>
        <w:pStyle w:val="ListBullet"/>
        <w:spacing w:after="40"/>
        <w:ind w:left="283"/>
      </w:pPr>
      <w:r>
        <w:rPr>
          <w:b/>
        </w:rPr>
        <w:t>MSc Mathematics &amp; Computer Science</w:t>
      </w:r>
      <w:r>
        <w:t xml:space="preserve">, University of Łódź, Poland — 1997–2002, </w:t>
      </w:r>
      <w:r>
        <w:rPr>
          <w:b/>
        </w:rPr>
        <w:t>Distinction</w:t>
      </w:r>
    </w:p>
    <w:p>
      <w:pPr>
        <w:pStyle w:val="ListBullet"/>
        <w:spacing w:after="40"/>
        <w:ind w:left="283"/>
      </w:pPr>
      <w:r>
        <w:rPr>
          <w:b/>
        </w:rPr>
        <w:t>Alteryx Designer Advanced</w:t>
      </w:r>
      <w:r>
        <w:t xml:space="preserve"> + </w:t>
      </w:r>
      <w:r>
        <w:rPr>
          <w:b/>
        </w:rPr>
        <w:t>Alteryx Auto Insights Micro-Credential</w:t>
      </w:r>
      <w:r>
        <w:t xml:space="preserve"> — Nov 2024</w:t>
      </w:r>
    </w:p>
    <w:p>
      <w:pPr>
        <w:pStyle w:val="ListBullet"/>
        <w:spacing w:after="40"/>
        <w:ind w:left="283"/>
      </w:pPr>
      <w:r>
        <w:rPr>
          <w:b/>
        </w:rPr>
        <w:t>INFORMS</w:t>
      </w:r>
      <w:r>
        <w:t xml:space="preserve"> (Analytics Society) · </w:t>
      </w:r>
      <w:r>
        <w:rPr>
          <w:b/>
        </w:rPr>
        <w:t>DAMA International</w:t>
      </w:r>
      <w:r>
        <w:t xml:space="preserve"> + </w:t>
      </w:r>
      <w:r>
        <w:rPr>
          <w:b/>
        </w:rPr>
        <w:t>DAMA Australia</w:t>
      </w:r>
      <w:r>
        <w:t xml:space="preserve"> (Sydney Branch)</w:t>
      </w:r>
    </w:p>
    <w:p>
      <w:pPr>
        <w:pStyle w:val="ListBullet"/>
        <w:spacing w:after="40"/>
        <w:ind w:left="283"/>
      </w:pPr>
      <w:r>
        <w:t>Treasurer, Saturday Language School of Sydney — Jan 2014 – Jan 2015 (volunteer)</w:t>
      </w:r>
    </w:p>
    <w:p>
      <w:pPr>
        <w:spacing w:before="80" w:after="80"/>
        <w:ind w:left="340"/>
        <w:pBdr>
          <w:left w:val="single" w:sz="12" w:space="8" w:color="1F3A5F"/>
        </w:pBdr>
      </w:pPr>
      <w:r>
        <w:rPr>
          <w:i/>
        </w:rPr>
        <w:t xml:space="preserve">Portfolio companion document available on request — covers the A-C-P framework, </w:t>
      </w:r>
      <w:r>
        <w:rPr>
          <w:i/>
        </w:rPr>
        <w:t>The Crystallisation Gap</w:t>
      </w:r>
      <w:r>
        <w:rPr>
          <w:i/>
        </w:rPr>
        <w:t xml:space="preserve"> publication detail, open-source mesh infrastructure (claudetyl, tentyl), and the meshbook.org platform launch.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