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3864"/>
          <w:sz w:val="40"/>
          <w:szCs w:val="40"/>
        </w:rPr>
        <w:t xml:space="preserve">ЭКСПЕРТНОЕ ЗАКЛЮЧЕНИЕ</w:t>
      </w:r>
    </w:p>
    <w:p>
      <w:pPr>
        <w:spacing w:after="360"/>
        <w:jc w:val="center"/>
      </w:pPr>
      <w:r>
        <w:rPr>
          <w:sz w:val="26"/>
          <w:szCs w:val="26"/>
        </w:rPr>
        <w:t xml:space="preserve">по итогам независимого технического и функционального аудита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Портал «Реестр обязательных требований в сфере предпринимательства»</w:t>
      </w:r>
    </w:p>
    <w:p>
      <w:pPr>
        <w:spacing w:after="360"/>
        <w:jc w:val="center"/>
      </w:pPr>
      <w:r>
        <w:rPr>
          <w:color w:val="2E74B5"/>
          <w:sz w:val="26"/>
          <w:szCs w:val="26"/>
        </w:rPr>
        <w:t xml:space="preserve">https://rsp.gov.kz</w:t>
      </w:r>
    </w:p>
    <w:p>
      <w:pPr>
        <w:spacing w:after="120"/>
        <w:jc w:val="center"/>
      </w:pPr>
      <w:r>
        <w:rPr>
          <w:i/>
          <w:iCs/>
          <w:color w:val="B26A00"/>
          <w:sz w:val="20"/>
          <w:szCs w:val="20"/>
        </w:rPr>
        <w:t xml:space="preserve">Редакция 2 — добавлен раздел информационной безопасности и сравнение с независимыми заключениями (Gemini, Qwen)</w:t>
      </w:r>
    </w:p>
    <w:p>
      <w:pPr>
        <w:jc w:val="center"/>
      </w:pPr>
      <w:r>
        <w:rPr>
          <w:sz w:val="22"/>
          <w:szCs w:val="22"/>
        </w:rPr>
        <w:t xml:space="preserve">Дата проведения: 1 августа 2026 г.</w:t>
      </w:r>
    </w:p>
    <w:p>
      <w:pPr>
        <w:jc w:val="center"/>
      </w:pPr>
      <w:r>
        <w:rPr>
          <w:i/>
          <w:iCs/>
          <w:color w:val="555555"/>
          <w:sz w:val="20"/>
          <w:szCs w:val="20"/>
        </w:rPr>
        <w:t xml:space="preserve">Метод: воспроизведение реального пользовательского сценария в полноценном браузере (Chromium 141 / Playwright)</w:t>
      </w:r>
    </w:p>
    <w:p>
      <w:r>
        <w:br w:type="page"/>
      </w:r>
    </w:p>
    <w:p>
      <w:pPr>
        <w:pStyle w:val="Heading1"/>
        <w:spacing w:after="120" w:before="28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t xml:space="preserve">1. Методология и техническая настройка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Важное методологическое замечание. </w:t>
      </w:r>
      <w:r>
        <w:rPr>
          <w:sz w:val="22"/>
          <w:szCs w:val="22"/>
        </w:rPr>
        <w:t xml:space="preserve">Все выводы основаны исключительно на фактически воспроизведённом поведении сайта в браузере, зафиксированных сетевых запросах, HTTP-кодах ответов и скриншотах. Выводы не делались заранее.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600"/>
        <w:gridCol w:w="60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Браузер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Chromium 141 (headless), драйвер Playwright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Исполнение JavaScript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Полное (waitUntil: domcontentloaded + networkidle)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Редиректы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Разрешены и зафиксированы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Сетевой анализ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Перехват всех ответов, экспорт HAR (session.har, 456 КБ)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Локали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Проверены обе версии — /ru и /kz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Объём выборки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 карточек регуляторных актов (стр. 1–8) + целевые поисковые запросы + разделы-суб-реестры; проверено более 20 различных документов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Техническая деталь воспроизводимости. </w:t>
      </w:r>
      <w:r>
        <w:rPr>
          <w:sz w:val="22"/>
          <w:szCs w:val="22"/>
        </w:rPr>
        <w:t xml:space="preserve">При работе через сетевой шлюз аудита Chromium по умолчанию не устанавливал TLS-соединение (сброс на TLS 1.3 ClientHello — ERR_CONNECTION_RESET). Диагностика через net-log показала причиной крупный постквантовый ClientHello. Решение — ограничение --ssl-version-max=tls1.2. Это особенность среды аудита, а не дефект портала.</w:t>
      </w:r>
    </w:p>
    <w:p>
      <w:pPr>
        <w:pStyle w:val="Heading1"/>
        <w:spacing w:after="120" w:before="280"/>
      </w:pPr>
      <w:r>
        <w:t xml:space="preserve">2. Общий обзор портала (архитектура)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Характеристика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наблюдения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«Реестр обязательных требований в сфере предпринимательства»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Веб-сервер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Apache/2.4.58 (Ubuntu)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PHP/Laravel (cookies XSRF-TOKEN, rchl_session; шаблоны Blade)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Тип приложения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Классический серверный рендеринг (SSR), НЕ SPA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Фронтенд-фреймворк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React/Vue/Angular/Inertia/Next/Nuxt/Livewire не обнаружены; используется jQuery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REST/JSON API не используется. XHR/fetch при работе с карточками — ноль. Данные встроены в HTML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Разработчик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SoftDeCo (раскрыт в HTML-комментарии — см. раздел 5)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Маршрутизация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Серверная (/ru, /ru?page=N, /ru/search?q=)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Служебные эндпоинты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/ru/login (вход госорганов — ЭЦП/NCALayer/QR/FaceID/eGov), /ru/certificate (справка о категории с ЭЦП)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Разделы портала. </w:t>
      </w:r>
      <w:r>
        <w:rPr>
          <w:sz w:val="22"/>
          <w:szCs w:val="22"/>
        </w:rPr>
        <w:t xml:space="preserve">Портал объединяет несколько независимых реестров. Дефект внутренних IP относится только к разделу «Регуляторные акты»; прочие реестры внутренних IP-ссылок не содержат.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2200"/>
        <w:gridCol w:w="28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Всего записей</w:t>
            </w:r>
          </w:p>
        </w:tc>
        <w:tc>
          <w:tcPr>
            <w:tcW w:type="dxa" w:w="2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к требованиям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РЕГУЛЯТОРНЫЕ АКТЫ (предмет аудита)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2 803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Реестр обязательных требований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Проверки бизнеса (/plan)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17 988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Списки/графики проверок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РСП — субъекты предпр. (/rsp)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2 852 180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 (см. раздел 5.2)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РССП — соц. предпр. (/rssp)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РСРО — саморег. орг. (/organizations)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РДПО — доверенное ПО (/rdpo)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759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РМГП — меры господдержки (/rmgp)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РНПО — неправит. орг. (/rnpo)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6 395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Отдельный реестр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Где реально хранятся сведения. </w:t>
      </w:r>
      <w:r>
        <w:rPr>
          <w:sz w:val="22"/>
          <w:szCs w:val="22"/>
        </w:rPr>
        <w:t xml:space="preserve">Раздел «Регуляторные акты» хранит только: (1) наименование акта, (2) метку статуса, (3) гиперссылку на текст акта. Сам текст обязательных требований в реестре не хранится.</w:t>
      </w:r>
    </w:p>
    <w:p>
      <w:pPr>
        <w:pStyle w:val="Heading1"/>
        <w:spacing w:after="120" w:before="280"/>
      </w:pPr>
      <w:r>
        <w:t xml:space="preserve">3. Пользовательский сценарий (карточка → «Подробнее»)</w:t>
      </w:r>
    </w:p>
    <w:p>
      <w:pPr>
        <w:spacing w:after="120" w:line="276"/>
      </w:pPr>
      <w:r>
        <w:rPr>
          <w:sz w:val="22"/>
          <w:szCs w:val="22"/>
        </w:rPr>
        <w:t xml:space="preserve">Кнопка «Подробнее»/«Данные» — JS-аккордеон: не ведёт на отдельную страницу и не выполняет сетевых запросов, а раскрывает уже присутствующую в HTML таблицу (Регуляторный акт | ОКЭД | Досье | Регуляторный орган | Статус | Срок анализа).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5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5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Фактическое состояние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акт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Гиперссылка на текст — в подавляющем большинстве ведёт на внутренний IP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(в исходном HTML закомментировано)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Досье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Регуляторный орган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«Действующий» (единственное встреченное значение)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Срок проведения анализа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1. Раскрытая карточка акта: метаданные пусты, «Регуляторный орган» — «Отсутствует».</w:t>
      </w:r>
    </w:p>
    <w:p>
      <w:pPr>
        <w:pStyle w:val="Heading1"/>
        <w:spacing w:after="120" w:before="280"/>
      </w:pPr>
      <w:r>
        <w:t xml:space="preserve">4. Проверка ссылок и содержимого</w:t>
      </w:r>
    </w:p>
    <w:p>
      <w:pPr>
        <w:pStyle w:val="Heading2"/>
        <w:spacing w:after="100" w:before="220"/>
      </w:pPr>
      <w:r>
        <w:t xml:space="preserve">4.1. Куда ведут ссылки требований (по 80 документам, 2 692 ссылки)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1400"/>
        <w:gridCol w:w="1200"/>
        <w:gridCol w:w="18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Категория назначения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  <w:tc>
          <w:tcPr>
            <w:tcW w:type="dxa" w:w="18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Достижимо извне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10.61.42.188 (зеркало ИПС «Әділет»)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1 317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48,9 %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Внутренний IP 10.61.41.253 (внутр. client-система)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1 044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38,8 %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 (публичный)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328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12,2 %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 (битые self-ссылки)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0,1 %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Итого: 2 361 из 2 692 ссылок (≈ 87,7 %) ведут на приватные IP RFC 1918, не маршрутизируемые в публичной сети. </w:t>
      </w:r>
      <w:r>
        <w:rPr>
          <w:sz w:val="22"/>
          <w:szCs w:val="22"/>
        </w:rPr>
        <w:t xml:space="preserve">На главной картина аналогична: 903 из 1 262 (≈ 72 %). Проблема охватывает кодексы, законы, постановления и приказы.</w:t>
      </w:r>
    </w:p>
    <w:p>
      <w:pPr>
        <w:pStyle w:val="Heading2"/>
        <w:spacing w:after="100" w:before="220"/>
      </w:pPr>
      <w:r>
        <w:t xml:space="preserve">4.2. Фактическая проверка достижимости (в браузере)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100"/>
        <w:gridCol w:w="3200"/>
        <w:gridCol w:w="1600"/>
        <w:gridCol w:w="700"/>
      </w:tblGrid>
      <w:tr>
        <w:trPr>
          <w:tblHeader/>
        </w:trPr>
        <w:tc>
          <w:tcPr>
            <w:tcW w:type="dxa" w:w="3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Тест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в браузере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URL-хост</w:t>
            </w:r>
          </w:p>
        </w:tc>
        <w:tc>
          <w:tcPr>
            <w:tcW w:type="dxa" w:w="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(зеркало Әділет)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Внутр. IP (client-система)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Публичный Әділет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Загружается: «ЭКОЛОГИЧЕСКИЙ КОДЕКС… ИПС "Әділет"»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self-ссылка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«404 NOT FOUND»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404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2. Переход по ссылке требования на внутренний IP 10.61.42.188 → ERR_TUNNEL_CONNECTION_FAILED.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3. Для сравнения: публичный adilet.zan.kz открывается (HTTP 200).</w:t>
      </w:r>
    </w:p>
    <w:p>
      <w:pPr>
        <w:pStyle w:val="Heading2"/>
        <w:spacing w:after="100" w:before="220"/>
      </w:pPr>
      <w:r>
        <w:t xml:space="preserve">4.3. Содержимое: хранит ли реестр сами требования?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Нет. </w:t>
      </w:r>
      <w:r>
        <w:rPr>
          <w:sz w:val="22"/>
          <w:szCs w:val="22"/>
        </w:rPr>
        <w:t xml:space="preserve">Реестр не содержит текста требований и выступает указателем ссылок. 87,7 % ссылок недоступны извне; 12,2 %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5. Информационная безопасность: находки и калибровка серьёзности</w:t>
      </w:r>
    </w:p>
    <w:p>
      <w:pPr>
        <w:spacing w:after="120" w:line="276"/>
      </w:pPr>
      <w:r>
        <w:rPr>
          <w:sz w:val="22"/>
          <w:szCs w:val="22"/>
        </w:rPr>
        <w:t xml:space="preserve">В независимых заключениях (Gemini, Qwen) отмечались два ИБ-момента: раскрытие внутренней инфраструктуры и наличие ИИН/БИН. Ниже — проверенные по факту наблюдения и честная (не завышенная) калибровка серьёзности каждого.</w:t>
      </w:r>
    </w:p>
    <w:p>
      <w:pPr>
        <w:pStyle w:val="Heading2"/>
        <w:spacing w:after="100" w:before="220"/>
      </w:pPr>
      <w:r>
        <w:t xml:space="preserve">5.1. Раскрытие внутренней инфраструктуры в публичном коде — ПОДТВЕРЖДЕНО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(а) Внутренние IP-адреса. </w:t>
      </w:r>
      <w:r>
        <w:rPr>
          <w:sz w:val="22"/>
          <w:szCs w:val="22"/>
        </w:rPr>
        <w:t xml:space="preserve">Адреса 10.61.42.188 и 10.61.41.253 зашиты в отдаваемый публично HTML (см. раздел 4). Это одновременно Information Disclosure (раскрытие топологии внутренней сети) и первопричина неработающих ссылок.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(б) Имя backend-узла и подрядчик. </w:t>
      </w:r>
      <w:r>
        <w:rPr>
          <w:sz w:val="22"/>
          <w:szCs w:val="22"/>
        </w:rPr>
        <w:t xml:space="preserve">В начале КАЖДОЙ страницы (до &lt;!doctype html&gt;) присутствует HTML-комментарий: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&lt;!--</w:t>
      </w:r>
      <w:r>
        <w:rPr>
          <w:rFonts w:ascii="Consolas" w:cs="Consolas" w:eastAsia="Consolas" w:hAnsi="Consolas"/>
          <w:sz w:val="18"/>
          <w:szCs w:val="18"/>
        </w:rPr>
        <w:br/>
        <w:t xml:space="preserve">  Разработка компании SoftDeCo</w:t>
      </w:r>
      <w:r>
        <w:rPr>
          <w:rFonts w:ascii="Consolas" w:cs="Consolas" w:eastAsia="Consolas" w:hAnsi="Consolas"/>
          <w:sz w:val="18"/>
          <w:szCs w:val="18"/>
        </w:rPr>
        <w:br/>
        <w:t xml:space="preserve">  Все права защищены (с) 2023-2025</w:t>
      </w:r>
      <w:r>
        <w:rPr>
          <w:rFonts w:ascii="Consolas" w:cs="Consolas" w:eastAsia="Consolas" w:hAnsi="Consolas"/>
          <w:sz w:val="18"/>
          <w:szCs w:val="18"/>
        </w:rPr>
        <w:br/>
        <w:t xml:space="preserve">  e-mail: office@softdeco.com</w:t>
      </w:r>
      <w:r>
        <w:rPr>
          <w:rFonts w:ascii="Consolas" w:cs="Consolas" w:eastAsia="Consolas" w:hAnsi="Consolas"/>
          <w:sz w:val="18"/>
          <w:szCs w:val="18"/>
        </w:rPr>
        <w:br/>
        <w:t xml:space="preserve">  сервер: node1.rsp.gov.kz</w:t>
      </w:r>
      <w:r>
        <w:rPr>
          <w:rFonts w:ascii="Consolas" w:cs="Consolas" w:eastAsia="Consolas" w:hAnsi="Consolas"/>
          <w:sz w:val="18"/>
          <w:szCs w:val="18"/>
        </w:rPr>
        <w:br/>
        <w:t xml:space="preserve">--&gt;</w:t>
      </w:r>
    </w:p>
    <w:p>
      <w:pPr>
        <w:spacing w:after="120" w:line="276"/>
      </w:pPr>
      <w:r>
        <w:rPr>
          <w:sz w:val="22"/>
          <w:szCs w:val="22"/>
        </w:rPr>
        <w:t xml:space="preserve">Раскрывается: имя внутреннего узла node1.rsp.gov.kz (само «node1» указывает на кластер node1/node2…), подрядчик SoftDeCo и его e-mail (полезно для целевого фишинга/социальной инженерии).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400"/>
        <w:gridCol w:w="1500"/>
        <w:gridCol w:w="37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Находка</w:t>
            </w:r>
          </w:p>
        </w:tc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/ severity</w:t>
            </w:r>
          </w:p>
        </w:tc>
        <w:tc>
          <w:tcPr>
            <w:tcW w:type="dxa" w:w="37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 и действие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Внутренние IP в публичном HTML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средняя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топологии + причина битых ссылок. Удалить/переписать на публичные URL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node1.rsp.gov.kz + контакт подрядчика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Info Disclosure / низкая (CWE-200)</w:t>
            </w:r>
          </w:p>
        </w:tc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Разведданные для атакующего. Удалить комментарий (одна строка в шаблоне)</w:t>
            </w:r>
          </w:p>
        </w:tc>
      </w:tr>
    </w:tbl>
    <w:p>
      <w:pPr>
        <w:pStyle w:val="Heading2"/>
        <w:spacing w:after="100" w:before="220"/>
      </w:pPr>
      <w:r>
        <w:t xml:space="preserve">5.2. Публичное отображение БИН/ИИН в РСП — СПОРНО, оценка ПОНИЖЕНА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Факт. </w:t>
      </w:r>
      <w:r>
        <w:rPr>
          <w:sz w:val="22"/>
          <w:szCs w:val="22"/>
        </w:rPr>
        <w:t xml:space="preserve">Раздел /ru/rsp (Реестр субъектов предпринимательства) без авторизации отдаёт таблицу с колонкой «БИН/ИИН». На глубоких страницах (проверены стр. 40000, 70000, 100000, 110000, 114000) большинство строк — индивидуальные предприниматели с полным ИИН + ФИО. Реестр перечисляем через ?page=N (≈ 114 000 страниц), рендерится на сервере (0 XHR).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Калибровка (важно). </w:t>
      </w:r>
      <w:r>
        <w:rPr>
          <w:sz w:val="22"/>
          <w:szCs w:val="22"/>
        </w:rPr>
        <w:t xml:space="preserve">Классифицировать это как «утечку ПДн» или уязвимость портала было бы преувеличением. Обоснование: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БИН юридических лиц — публичный идентификатор (счета, договоры, открытые данные stat.gov.kz / kgd.gov.kz).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ИИН индивидуального предпринимателя выступает его предпринимательским идентификатором и уже фигурирует публично; РСП — государственный реестр, задуманный как общедоступный, то есть раскрытие идентификатора предусмотрено его назначением.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 таблице нет данных сверх реестрового минимума: нет адресов, телефонов, сканов документов (колонки: БИН/ИИН, наименование/ФИО, ОКЭД, число сотрудников, категория).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Остаточный нюанс (уровень рекомендации, НЕ дефект). </w:t>
      </w:r>
      <w:r>
        <w:rPr>
          <w:sz w:val="22"/>
          <w:szCs w:val="22"/>
        </w:rPr>
        <w:t xml:space="preserve">Единственное защищаемое замечание — массовая перечисляемость PII-содержащего датасета без anti-scraping/rate-limit: весь массив «ИИН + ФИО + вид деятельности» тривиально выкачивается ботом (риск агрегации), а ИИН по структуре кодирует дату рождения. Рекомендация — ограничить пакетную выгрузку. Но если реестр законодательно обязан быть полностью открытым, это вопрос политики данных, а не ИБ-дефект.</w:t>
      </w:r>
    </w:p>
    <w:p>
      <w:pPr>
        <w:pBdr>
          <w:top w:val="single" w:color="E0C060" w:sz="4"/>
          <w:bottom w:val="single" w:color="E0C060" w:sz="4"/>
          <w:left w:val="single" w:color="E0C060" w:sz="4"/>
          <w:right w:val="single" w:color="E0C060" w:sz="4"/>
        </w:pBdr>
        <w:shd w:fill="FFF3CD" w:color="auto" w:val="clear"/>
        <w:spacing w:after="120"/>
      </w:pPr>
      <w:r>
        <w:rPr>
          <w:i/>
          <w:iCs/>
          <w:sz w:val="20"/>
          <w:szCs w:val="20"/>
        </w:rPr>
        <w:t xml:space="preserve">Оговорка о калибровке: в предварительной оценке этот пункт ошибочно был обозначен как «утечка персональных данных высокой важности». После проверки назначения реестра (общедоступный госреестр) оценка понижена до наблюдения по data-governance (перечисляемость), без статуса уязвимости.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1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4. РСП /ru/rsp, глубокая страница: строки индивидуальных предпринимателей (ИИН замаскированы для отчёта). Данные публичны и без авторизации, но соответствуют назначению общедоступного реестра.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6. Таблица проверенных документов (25 из 80)</w:t>
      </w:r>
    </w:p>
    <w:p>
      <w:pPr>
        <w:spacing w:after="120" w:line="276"/>
      </w:pPr>
      <w:r>
        <w:rPr>
          <w:sz w:val="22"/>
          <w:szCs w:val="22"/>
        </w:rPr>
        <w:t xml:space="preserve">Формат ячейки «Назначение ссылок»: хост : количество ссылок в карточке.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1100"/>
        <w:gridCol w:w="3200"/>
        <w:gridCol w:w="900"/>
        <w:gridCol w:w="2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1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3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Документ (сокр.)</w:t>
            </w:r>
          </w:p>
        </w:tc>
        <w:tc>
          <w:tcPr>
            <w:tcW w:type="dxa" w:w="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Ссылок</w:t>
            </w:r>
          </w:p>
        </w:tc>
        <w:tc>
          <w:tcPr>
            <w:tcW w:type="dxa" w:w="2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 ссылок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Бюджетный кодекс РК (№ 95-IV)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Земельный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Экологический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531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10.61.42.188:199; 10.61.41.253:54; adilet:276; битые:2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здоровье народа и системе здравоохранения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недрах и недропользовании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таможенном регулировании в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 (все)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Предпринимательский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10.61.42.188:12; adilet:52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Уголовно-процессуальный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(Особенная часть)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административных правонарушениях (КоАП)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10.61.41.253:2; 10.61.42.188:2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Водный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Лесной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Налоговый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10.61.41.253:590; битые:1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Уголовно-исполнительный кодекс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Уголовный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Гражданский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Трудовой кодекс РК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Кодекс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браке (супружестве) и семье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растительном мире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развитии агломераций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восстановлении платёжеспособности и банкротстве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контроле специфических товаров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 геодезии, картографии и простр. данных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Закон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 объёмах трансфертов общего характера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Все 25 документов имеют статус «Действующий». Дополнительно подтверждено наличие подзаконных актов: приказы — 1 773, постановления — 97, указы — 8 (ссылки ведут преимущественно на тот же 10.61.42.188).</w:t>
      </w:r>
    </w:p>
    <w:p>
      <w:pPr>
        <w:pStyle w:val="Heading1"/>
        <w:spacing w:after="120" w:before="280"/>
      </w:pPr>
      <w:r>
        <w:t xml:space="preserve">7. Таблица ошибок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"/>
        <w:gridCol w:w="2600"/>
        <w:gridCol w:w="3600"/>
        <w:gridCol w:w="19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Тип проблемы</w:t>
            </w:r>
          </w:p>
        </w:tc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Пример</w:t>
            </w:r>
          </w:p>
        </w:tc>
        <w:tc>
          <w:tcPr>
            <w:tcW w:type="dxa" w:w="19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10.61.42.188/rus/docs/K2100000400#z3653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Ссылки на внутренний IP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10.61.41.253/client/#!/doc/117004/rus/29769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ERR_TUNNEL_CONNECTION_FAILED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 self-ссылка (утерян https://)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rsp.gov.kz/adilet.zan.kz/rus/docs/K2100000400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E-4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Искажённая ссылка (мусорная конкатенация)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rsp.gov.kz/%D0%BC%D1%8Fhttps://10.61.41.253/...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 404 (1 редирект)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Незаполненные метаданные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Досье / Орган / Срок анализа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Пусто / «Отсутствует»</w:t>
            </w:r>
          </w:p>
        </w:tc>
      </w:tr>
      <w:tr>
        <w:tc>
          <w:tcPr>
            <w:tcW w:type="dxa" w:w="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Раскрытие внутр. инфраструктуры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Приватные IP + node1.rsp.gov.kz в публичном HTML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Утечка топологии (см. раздел 5)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Циклических редиректов и ссылок на localhost не обнаружено. Основной класс — недостижимые внутренние адреса и отсутствие содержимого.</w:t>
      </w:r>
    </w:p>
    <w:p>
      <w:pPr>
        <w:pStyle w:val="Heading1"/>
        <w:spacing w:after="120" w:before="280"/>
      </w:pPr>
      <w:r>
        <w:t xml:space="preserve">8. Перечень редиректов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600"/>
        <w:gridCol w:w="3400"/>
        <w:gridCol w:w="1600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Исходный URL</w:t>
            </w:r>
          </w:p>
        </w:tc>
        <w:tc>
          <w:tcPr>
            <w:tcW w:type="dxa" w:w="3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Цепочка</w:t>
            </w:r>
          </w:p>
        </w:tc>
        <w:tc>
          <w:tcPr>
            <w:tcW w:type="dxa" w:w="1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302 → rsp.gov.kz/kz → 200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Норма (локаль)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adilet.zan.kz/rus/docs/K2100000400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200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rsp.gov.kz/adilet.zan.kz/rus/docs/…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404 (без редиректов)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rsp.gov.kz/%D0%BC%D1%8Fhttps://10.61.41.253/…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редирект → /public/… → 404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Битая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10.61.42.188/… , 10.61.41.253/…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Соединение не устанавливается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Недостижимо</w:t>
            </w:r>
          </w:p>
        </w:tc>
      </w:tr>
    </w:tbl>
    <w:p>
      <w:pPr>
        <w:pStyle w:val="Heading1"/>
        <w:spacing w:after="120" w:before="280"/>
      </w:pPr>
      <w:r>
        <w:t xml:space="preserve">9. Сетевой анализ (Network)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При открытии главной и раскрытии карточек XHR/fetch-запросов — 0. Данные полностью встроены в HTML (SSR).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Внешние хосты при загрузке: rsp.gov.kz (свой), fonts.googleapis.com, fonts.gstatic.com. Иных сторонних сервисов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Полный HAR-файл сессии сохранён (evidence/session.har).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Публичного API (REST/GraphQL/JSON) не обнаружено — интеграция/выгрузка внешними потребителями невозможны.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Скриншот 5. Работающий поиск с фильтрами (год анализа, тип РА, ОКЭД, сфера деятельности).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10. Соответствие назначению и архитектурный аудит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00"/>
        <w:gridCol w:w="1400"/>
        <w:gridCol w:w="2600"/>
      </w:tblGrid>
      <w:tr>
        <w:trPr>
          <w:tblHeader/>
        </w:trPr>
        <w:tc>
          <w:tcPr>
            <w:tcW w:type="dxa" w:w="4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Ожидаемая возможность</w:t>
            </w:r>
          </w:p>
        </w:tc>
        <w:tc>
          <w:tcPr>
            <w:tcW w:type="dxa" w:w="1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Наличие</w:t>
            </w:r>
          </w:p>
        </w:tc>
        <w:tc>
          <w:tcPr>
            <w:tcW w:type="dxa" w:w="26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Само обязательное требование (текст)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Хранится только ссылка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Источник (норма/акт)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Ссылка есть, но в 87,7 % недостижима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Статус актуальности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Только метка «Действующий»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Сведения о контролирующем органе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«Отсутствует» / пусто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Связь с проверками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Привязки к требованию нет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История изменений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обнаружена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Редакции требований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обнаружены</w:t>
            </w:r>
          </w:p>
        </w:tc>
      </w:tr>
      <w:tr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ОКЭД / сфера / досье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НЕТ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Поля пусты</w:t>
            </w:r>
          </w:p>
        </w:tc>
      </w:tr>
    </w:tbl>
    <w:p>
      <w:pPr>
        <w:pStyle w:val="Heading2"/>
        <w:spacing w:after="100" w:before="220"/>
      </w:pPr>
      <w:r>
        <w:t xml:space="preserve">Архитектурные выводы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Хранение данных: </w:t>
      </w:r>
      <w:r>
        <w:rPr>
          <w:sz w:val="22"/>
          <w:szCs w:val="22"/>
        </w:rPr>
        <w:t xml:space="preserve">тексты требований не хранятся; реестр — индекс ссылок.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Reverse proxy / нормализация ссылок: </w:t>
      </w:r>
      <w:r>
        <w:rPr>
          <w:sz w:val="22"/>
          <w:szCs w:val="22"/>
        </w:rPr>
        <w:t xml:space="preserve">отсутствует — внутренние адреса 10.61.x.x попадают в публичный HTML «как есть».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Признаки незавершённости/тестовой инфраструктуры: </w:t>
      </w:r>
      <w:r>
        <w:rPr>
          <w:sz w:val="22"/>
          <w:szCs w:val="22"/>
        </w:rPr>
        <w:t xml:space="preserve">налицо — ошибочная публикация внутренних данных, незавершённая настройка proxy, разнородные источники (два внутренних узла + adilet) без унификации.</w:t>
      </w:r>
    </w:p>
    <w:p>
      <w:pPr>
        <w:pStyle w:val="Heading1"/>
        <w:spacing w:after="120" w:before="280"/>
      </w:pPr>
      <w:r>
        <w:t xml:space="preserve">11. UX-аудит (глазами пользователя)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200"/>
        <w:gridCol w:w="440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4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Ответ по итогам сценария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Можно ли быстро найти требование?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Найти акт — да (поиск и фильтры работают). Найти само требование — нет.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Понятно ли, что происходит после «Подробнее»?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Частично: таблица с почти пустыми полями и ссылкой.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Ощущение постоянного ухода с портала?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Да — целевое действие всегда уводит на внешний ресурс.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Ценность против прямого поиска в Әділет?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Практически нет; в 87,7 % случаев переход завершается ошибкой.</w:t>
            </w:r>
          </w:p>
        </w:tc>
      </w:tr>
    </w:tbl>
    <w:p>
      <w:pPr>
        <w:pStyle w:val="Heading1"/>
        <w:spacing w:after="120" w:before="280"/>
      </w:pPr>
      <w:r>
        <w:t xml:space="preserve">12. Реестр или каталог ссылок?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Вывод: в части «Регуляторные акты» реализация является каталогом (индексом) ссылок на внешние нормативные документы, а не полноценным Реестром обязательных требований.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Текст обязательного требования в системе не хранится.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87,7 % ссылок ведут на недостижимые внутренние IP → для внешнего пользователя это «мёртвый» каталог.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Ключевые атрибуты (орган, связь с проверками, история, редакции, ОКЭД, досье) не заполнены.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Работающие ссылки (12,2 %) лишь дублируют публичный adilet.zan.kz.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13. Сравнение с независимыми заключениями (Gemini, Qwen)</w:t>
      </w:r>
    </w:p>
    <w:p>
      <w:pPr>
        <w:spacing w:after="120" w:line="276"/>
      </w:pPr>
      <w:r>
        <w:rPr>
          <w:sz w:val="22"/>
          <w:szCs w:val="22"/>
        </w:rPr>
        <w:t xml:space="preserve">Ниже — сопоставление трёх независимых заключений с фактическими наблюдениями данного аудита. Все три сходятся в главном (портал — каталог ссылок; масса ссылок ведёт на внутренние IP; назначению не соответствует), но существенно различаются по фактической точности и глубине.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200"/>
        <w:gridCol w:w="2200"/>
        <w:gridCol w:w="2000"/>
        <w:gridCol w:w="22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Аспект</w:t>
            </w:r>
          </w:p>
        </w:tc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Gemini</w:t>
            </w:r>
          </w:p>
        </w:tc>
        <w:tc>
          <w:tcPr>
            <w:tcW w:type="dxa" w:w="2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Qwen</w:t>
            </w:r>
          </w:p>
        </w:tc>
        <w:tc>
          <w:tcPr>
            <w:tcW w:type="dxa" w:w="2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 (данный аудит)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Архитектура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SPA (Vue/React)+API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SSR Laravel+jQuery, 0 XHR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Внутренние IP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10.x + 192.168.x (плейсхолдеры)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10.61.42.188 / .253; 72,6 %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10.61.42.188 + 10.61.41.253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Протокол/ошибка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http://, TIMED_OUT/REFUSED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https://, ERR_TUNNEL_CONNECTION_FAILED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Таблица НПА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B26A00"/>
                <w:sz w:val="18"/>
                <w:szCs w:val="18"/>
              </w:rPr>
              <w:t xml:space="preserve">10 актов, цели не верифицированы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25+ актов, верифицированы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Юридическая база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обтекаемо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ст.83-1 ПК, Приказ МНЭ №131, 7 граф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подтверждаю релевантность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Формальное vs сущностное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 различает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7/10 формально vs 2/10 сущностно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согласен: графы есть, функции нет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node1 disclosure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не найдено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упоминает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подтверждено (HTML-комментарий)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Экспозиция ИИН/ФИО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пропущено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упоминает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подтверждено; калибровано (раздел 5.2)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Эндпоинты login/certificate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указаны (ЭЦП/QR/FaceID)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18"/>
                <w:szCs w:val="18"/>
              </w:rPr>
              <w:t xml:space="preserve">верно (HTTP 200)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Итоговый балл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2,6 / 10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2/10 (сущностно) · 7/10 (формально)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≈ 2,0 / 10</w:t>
            </w:r>
          </w:p>
        </w:tc>
      </w:tr>
    </w:tbl>
    <w:p>
      <w:pPr>
        <w:pStyle w:val="Heading2"/>
        <w:spacing w:after="100" w:before="220"/>
      </w:pPr>
      <w:r>
        <w:t xml:space="preserve">Выводы сравнения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Qwen — сильнее в праве: </w:t>
      </w:r>
      <w:r>
        <w:rPr>
          <w:sz w:val="22"/>
          <w:szCs w:val="22"/>
        </w:rPr>
        <w:t xml:space="preserve">единственный привязал оценку к конкретным НПА (ст. 83-1 Предпринимательского кодекса, Приказ МНЭ № 131 с 7 обязательными графами) и ввёл важное различие «формальное соответствие (7/10) против сущностного (2/10)». Его проверяемые технические факты (реальные IP, 72,6 %, node1, ИИН/БИН) совпадают с наблюдениями данного аудита.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Gemini — слабее в фактах: </w:t>
      </w:r>
      <w:r>
        <w:rPr>
          <w:sz w:val="22"/>
          <w:szCs w:val="22"/>
        </w:rPr>
        <w:t xml:space="preserve">верно уловил общий диагноз, структуру разделов и служебные эндпоинты, но ошибся в архитектуре (SPA/API вместо SSR), использовал выдуманные 192.168.* и http://, привёл непроверенную таблицу НПА и не заметил двух реальных ИБ-моментов (node1 и экспозицию ИИН). Гипотеза «остатки тестового контура» правдоподобна, но не подкреплена данными.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Данный аудит — «наземная правда»: </w:t>
      </w:r>
      <w:r>
        <w:rPr>
          <w:sz w:val="22"/>
          <w:szCs w:val="22"/>
        </w:rPr>
        <w:t xml:space="preserve">точные IP, реальный тип ошибки, подтверждённый SSR (не SPA), раскрытие node1 и калиброванная (не завышенная) оценка ситуации с ИИН/БИН.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14. Итоговая экспертная оценка (10-балльная шкала)</w:t>
      </w:r>
    </w:p>
    <w:tbl>
      <w:tblPr>
        <w:tblW w:type="dxa" w:w="86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5000"/>
        <w:gridCol w:w="1200"/>
        <w:gridCol w:w="2400"/>
      </w:tblGrid>
      <w:tr>
        <w:trPr>
          <w:tblHeader/>
        </w:trPr>
        <w:tc>
          <w:tcPr>
            <w:tcW w:type="dxa" w:w="5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12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4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Кратко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Функциональность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Целевая функция неисправна в ~88 %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Полнота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Нет текста, пустые метаданные, битые ссылки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Качество архитектуры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Внутренние IP/node1 в HTML, нет нормализации, нет API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Пользовательский опыт (UX)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Постоянный уход и обрыв на ошибке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назначению Реестра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Каталог ссылок, а не реестр требований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Техническое качество реализации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Стек стабилен, но грубые дефекты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Соответствие принципам современных гос ИС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Нет API/выгрузки, немаршрутизируемые адреса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Интегральная оценка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≈ 2,0 / 10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Не выполняет назначение для внешнего пользователя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Примечание (рамка Qwen). </w:t>
      </w:r>
      <w:r>
        <w:rPr>
          <w:sz w:val="22"/>
          <w:szCs w:val="22"/>
        </w:rPr>
        <w:t xml:space="preserve">Отдельно стоит различать формальное соответствие подзаконному акту (Приказ МНЭ № 131 — все 7 граф формально присутствуют, оценка ~7/10) и сущностное соответствие цели закона и поручению (информированность об исчерпывающем перечне требований — ~2/10). Данная интегральная оценка отражает именно сущностную сторону — фактическую пользу для предпринимателя.</w:t>
      </w:r>
    </w:p>
    <w:p>
      <w:pPr>
        <w:pStyle w:val="Heading1"/>
        <w:spacing w:after="120" w:before="280"/>
      </w:pPr>
      <w:r>
        <w:t xml:space="preserve">15. Технические причины и рекомендации</w:t>
      </w:r>
    </w:p>
    <w:p>
      <w:pPr>
        <w:pStyle w:val="Heading2"/>
        <w:spacing w:after="100" w:before="220"/>
      </w:pPr>
      <w:r>
        <w:t xml:space="preserve">15.1. Причины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Публикация в открытый контур ссылок, сформированных для внутренней сети (жёстко зашитые приватные IP).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Отсутствие слоя нормализации/reverse-proxy, переписывающего внутренние адреса в публичные (adilet.zan.kz).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Импорт данных из нескольких разнородных систем без унификации и валидации URL.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Модель «каталог ссылок» вместо «хранилище требований».</w:t>
      </w:r>
    </w:p>
    <w:p>
      <w:pPr>
        <w:pStyle w:val="Heading2"/>
        <w:spacing w:after="100" w:before="220"/>
      </w:pPr>
      <w:r>
        <w:t xml:space="preserve">15.2. Рекомендации (по приоритету)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Немедленно</w:t>
      </w:r>
      <w:r>
        <w:rPr>
          <w:sz w:val="22"/>
          <w:szCs w:val="22"/>
        </w:rPr>
        <w:t xml:space="preserve"> заменить все ссылки 10.61.42.188/… и 10.61.41.253/… на публичные adilet.zan.kz/… (устранит ~88 % неработающих ссылок).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ИБ: </w:t>
      </w:r>
      <w:r>
        <w:rPr>
          <w:sz w:val="22"/>
          <w:szCs w:val="22"/>
        </w:rPr>
        <w:t xml:space="preserve">удалить из публичного HTML внутренние IP, имя узла node1.rsp.gov.kz и контакт подрядчика (HTML-комментарий) — раскрытие внутренней инфраструктуры.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Внедрить автоматическую валидацию ссылок (link-checker) в конвейер публикации и мониторинг 4xx/недостижимых узлов.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Исправить генерацию URL в шаблонах (потеря префикса https:// и мусорная конкатенация).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Data-governance (по необходимости): для РСП рассмотреть ограничение массовой перечисляемости/выгрузки (rate-limit, anti-scraping), поскольку датасет содержит ИИН (ПДн с датой рождения). </w:t>
      </w:r>
      <w:r>
        <w:rPr>
          <w:i/>
          <w:iCs/>
          <w:sz w:val="22"/>
          <w:szCs w:val="22"/>
        </w:rPr>
        <w:t xml:space="preserve">Это рекомендация уровня политики данных, а не устранение уязвимости.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Наполнить обязательные атрибуты: контролирующий орган, ОКЭД/сфера, срок анализа, история и редакции.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Перейти от «каталога ссылок» к хранению структурированного текста требований с прослеживаемостью «требование ↔ норма ↔ проверка».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Предоставить открытый API/выгрузку (машиночитаемые форматы).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80d7e0c97cc9781c434a6650c13038ea34a9e2.png"/><Relationship Id="rId8" Type="http://schemas.openxmlformats.org/officeDocument/2006/relationships/image" Target="media/468e52ff94ddaf208d332dc24ad7b6ada17987e4.png"/><Relationship Id="rId9" Type="http://schemas.openxmlformats.org/officeDocument/2006/relationships/image" Target="media/4a188bfbfc39f2c9d3669841ef2dbe014ff4533b.png"/><Relationship Id="rId10" Type="http://schemas.openxmlformats.org/officeDocument/2006/relationships/image" Target="media/e8b995e507ad85af3130c499d8837f63ba1c8fd8.png"/><Relationship Id="rId11" Type="http://schemas.openxmlformats.org/officeDocument/2006/relationships/image" Target="media/100312a4c51ac14128a4e8ef7b0024803143036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Экспертное заключение — аудит rsp.gov.kz (ред. 2)</dc:title>
  <dc:creator>Независимый аудит</dc:creator>
  <cp:lastModifiedBy>Un-named</cp:lastModifiedBy>
  <cp:revision>1</cp:revision>
  <dcterms:created xsi:type="dcterms:W3CDTF">2026-08-01T14:31:30.946Z</dcterms:created>
  <dcterms:modified xsi:type="dcterms:W3CDTF">2026-08-01T14:31:30.948Z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