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  <w:jc w:val="center"/>
      </w:pPr>
      <w:r>
        <w:rPr>
          <w:b/>
          <w:bCs/>
          <w:color w:val="1F3864"/>
          <w:sz w:val="40"/>
          <w:szCs w:val="40"/>
        </w:rPr>
        <w:t xml:space="preserve">ЭКСПЕРТНОЕ ЗАКЛЮЧЕНИЕ</w:t>
      </w:r>
    </w:p>
    <w:p>
      <w:pPr>
        <w:spacing w:after="400"/>
        <w:jc w:val="center"/>
      </w:pPr>
      <w:r>
        <w:rPr>
          <w:sz w:val="26"/>
          <w:szCs w:val="26"/>
        </w:rPr>
        <w:t xml:space="preserve">по итогам независимого технического и функционального аудита</w:t>
      </w:r>
    </w:p>
    <w:p>
      <w:pPr>
        <w:spacing w:after="120"/>
        <w:jc w:val="center"/>
      </w:pPr>
      <w:r>
        <w:rPr>
          <w:b/>
          <w:bCs/>
          <w:sz w:val="28"/>
          <w:szCs w:val="28"/>
        </w:rPr>
        <w:t xml:space="preserve">Портал «Реестр обязательных требований в сфере предпринимательства»</w:t>
      </w:r>
    </w:p>
    <w:p>
      <w:pPr>
        <w:spacing w:after="600"/>
        <w:jc w:val="center"/>
      </w:pPr>
      <w:r>
        <w:rPr>
          <w:color w:val="2E74B5"/>
          <w:sz w:val="26"/>
          <w:szCs w:val="26"/>
        </w:rPr>
        <w:t xml:space="preserve">https://rsp.gov.kz</w:t>
      </w:r>
    </w:p>
    <w:p>
      <w:pPr>
        <w:jc w:val="center"/>
      </w:pPr>
      <w:r>
        <w:rPr>
          <w:sz w:val="22"/>
          <w:szCs w:val="22"/>
        </w:rPr>
        <w:t xml:space="preserve">Дата проведения: 1 августа 2026 г.</w:t>
      </w:r>
    </w:p>
    <w:p>
      <w:pPr>
        <w:jc w:val="center"/>
      </w:pPr>
      <w:r>
        <w:rPr>
          <w:i/>
          <w:iCs/>
          <w:color w:val="555555"/>
          <w:sz w:val="20"/>
          <w:szCs w:val="20"/>
        </w:rPr>
        <w:t xml:space="preserve">Метод: воспроизведение реального пользовательского сценария в полноценном браузере (Chromium 141 / Playwright)</w:t>
      </w:r>
    </w:p>
    <w:p>
      <w:r>
        <w:br w:type="page"/>
      </w:r>
    </w:p>
    <w:p>
      <w:pPr>
        <w:pStyle w:val="Heading1"/>
        <w:spacing w:after="120" w:before="280"/>
      </w:pPr>
      <w:r>
        <w:t xml:space="preserve">Содержание</w:t>
      </w:r>
    </w:p>
    <w:sdt>
      <w:sdtPr>
        <w:alias w:val="Содержание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280"/>
      </w:pPr>
      <w:r>
        <w:t xml:space="preserve">1. Методология и техническая настройка</w:t>
      </w:r>
    </w:p>
    <w:p>
      <w:pPr>
        <w:spacing w:after="120" w:line="276"/>
      </w:pPr>
      <w:r>
        <w:rPr>
          <w:b/>
          <w:bCs/>
          <w:sz w:val="22"/>
          <w:szCs w:val="22"/>
        </w:rPr>
        <w:t xml:space="preserve">Важное методологическое замечание. </w:t>
      </w:r>
      <w:r>
        <w:rPr>
          <w:sz w:val="22"/>
          <w:szCs w:val="22"/>
        </w:rPr>
        <w:t xml:space="preserve">Все выводы основаны исключительно на фактически воспроизведённом поведении сайта в браузере, зафиксированных сетевых запросах, HTTP-кодах ответов и скриншотах. Выводы не делались заранее.</w:t>
      </w:r>
    </w:p>
    <w:tbl>
      <w:tblPr>
        <w:tblW w:type="dxa" w:w="860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2600"/>
        <w:gridCol w:w="6000"/>
      </w:tblGrid>
      <w:tr>
        <w:trPr>
          <w:tblHeader/>
        </w:trPr>
        <w:tc>
          <w:tcPr>
            <w:tcW w:type="dxa" w:w="260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Параметр</w:t>
            </w:r>
          </w:p>
        </w:tc>
        <w:tc>
          <w:tcPr>
            <w:tcW w:type="dxa" w:w="600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Значение</w:t>
            </w:r>
          </w:p>
        </w:tc>
      </w:tr>
      <w:t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Браузер</w:t>
            </w:r>
          </w:p>
        </w:tc>
        <w:tc>
          <w:tcPr>
            <w:tcW w:type="dxa" w:w="6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Chromium 141 (headless), драйвер Playwright</w:t>
            </w:r>
          </w:p>
        </w:tc>
      </w:tr>
      <w:t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Исполнение JavaScript</w:t>
            </w:r>
          </w:p>
        </w:tc>
        <w:tc>
          <w:tcPr>
            <w:tcW w:type="dxa" w:w="6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Полное (waitUntil: domcontentloaded + networkidle)</w:t>
            </w:r>
          </w:p>
        </w:tc>
      </w:tr>
      <w:t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Редиректы</w:t>
            </w:r>
          </w:p>
        </w:tc>
        <w:tc>
          <w:tcPr>
            <w:tcW w:type="dxa" w:w="6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Разрешены и зафиксированы</w:t>
            </w:r>
          </w:p>
        </w:tc>
      </w:tr>
      <w:t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Сетевой анализ</w:t>
            </w:r>
          </w:p>
        </w:tc>
        <w:tc>
          <w:tcPr>
            <w:tcW w:type="dxa" w:w="6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Перехват всех ответов, экспорт HAR (session.har, 456 КБ)</w:t>
            </w:r>
          </w:p>
        </w:tc>
      </w:tr>
      <w:t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Локали</w:t>
            </w:r>
          </w:p>
        </w:tc>
        <w:tc>
          <w:tcPr>
            <w:tcW w:type="dxa" w:w="6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Проверены обе версии — /ru и /kz</w:t>
            </w:r>
          </w:p>
        </w:tc>
      </w:tr>
      <w:t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Объём выборки</w:t>
            </w:r>
          </w:p>
        </w:tc>
        <w:tc>
          <w:tcPr>
            <w:tcW w:type="dxa" w:w="6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80 карточек регуляторных актов (стр. 1–8) + целевые поисковые запросы; проверено более 20 различных документов (кодексы, законы, подзаконные акты)</w:t>
            </w:r>
          </w:p>
        </w:tc>
      </w:tr>
    </w:tbl>
    <w:p>
      <w:pPr>
        <w:spacing w:after="120" w:line="276"/>
      </w:pPr>
      <w:r>
        <w:rPr>
          <w:b/>
          <w:bCs/>
          <w:sz w:val="22"/>
          <w:szCs w:val="22"/>
        </w:rPr>
        <w:t xml:space="preserve">Техническая деталь воспроизводимости. </w:t>
      </w:r>
      <w:r>
        <w:rPr>
          <w:sz w:val="22"/>
          <w:szCs w:val="22"/>
        </w:rPr>
        <w:t xml:space="preserve">При работе через сетевой шлюз аудита Chromium по умолчанию не устанавливал TLS-соединение (сброс на этапе TLS 1.3 ClientHello — ERR_CONNECTION_RESET). Диагностика через net-log показала причиной крупный постквантовый ClientHello. Решение — принудительное ограничение --ssl-version-max=tls1.2. Это особенность среды аудита, а не дефект портала.</w:t>
      </w:r>
    </w:p>
    <w:p>
      <w:pPr>
        <w:pStyle w:val="Heading1"/>
        <w:spacing w:after="120" w:before="280"/>
      </w:pPr>
      <w:r>
        <w:t xml:space="preserve">2. Общий обзор портала (архитектура)</w:t>
      </w:r>
    </w:p>
    <w:tbl>
      <w:tblPr>
        <w:tblW w:type="dxa" w:w="860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3200"/>
        <w:gridCol w:w="5400"/>
      </w:tblGrid>
      <w:tr>
        <w:trPr>
          <w:tblHeader/>
        </w:trPr>
        <w:tc>
          <w:tcPr>
            <w:tcW w:type="dxa" w:w="320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Характеристика</w:t>
            </w:r>
          </w:p>
        </w:tc>
        <w:tc>
          <w:tcPr>
            <w:tcW w:type="dxa" w:w="540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Результат наблюдения</w:t>
            </w:r>
          </w:p>
        </w:tc>
      </w:tr>
      <w:tr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Заголовок</w:t>
            </w:r>
          </w:p>
        </w:tc>
        <w:tc>
          <w:tcPr>
            <w:tcW w:type="dxa" w:w="5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«Реестр обязательных требований в сфере предпринимательства»</w:t>
            </w:r>
          </w:p>
        </w:tc>
      </w:tr>
      <w:tr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Веб-сервер</w:t>
            </w:r>
          </w:p>
        </w:tc>
        <w:tc>
          <w:tcPr>
            <w:tcW w:type="dxa" w:w="5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Apache/2.4.58 (Ubuntu)</w:t>
            </w:r>
          </w:p>
        </w:tc>
      </w:tr>
      <w:tr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Платформа</w:t>
            </w:r>
          </w:p>
        </w:tc>
        <w:tc>
          <w:tcPr>
            <w:tcW w:type="dxa" w:w="5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PHP/Laravel (cookies XSRF-TOKEN, rchl_session; шаблоны Blade)</w:t>
            </w:r>
          </w:p>
        </w:tc>
      </w:tr>
      <w:tr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Тип приложения</w:t>
            </w:r>
          </w:p>
        </w:tc>
        <w:tc>
          <w:tcPr>
            <w:tcW w:type="dxa" w:w="5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Классический серверный рендеринг (SSR), НЕ SPA</w:t>
            </w:r>
          </w:p>
        </w:tc>
      </w:tr>
      <w:tr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Фронтенд-фреймворк</w:t>
            </w:r>
          </w:p>
        </w:tc>
        <w:tc>
          <w:tcPr>
            <w:tcW w:type="dxa" w:w="5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React/Vue/Angular/Inertia/Next/Nuxt/Livewire не обнаружены; используется jQuery</w:t>
            </w:r>
          </w:p>
        </w:tc>
      </w:tr>
      <w:tr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API</w:t>
            </w:r>
          </w:p>
        </w:tc>
        <w:tc>
          <w:tcPr>
            <w:tcW w:type="dxa" w:w="5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Публичный REST/JSON API не используется. XHR/fetch при работе с карточками — ноль. Данные встроены в HTML</w:t>
            </w:r>
          </w:p>
        </w:tc>
      </w:tr>
      <w:tr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Маршрутизация</w:t>
            </w:r>
          </w:p>
        </w:tc>
        <w:tc>
          <w:tcPr>
            <w:tcW w:type="dxa" w:w="5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Серверная (/ru, /ru?page=N, /ru/search?q=)</w:t>
            </w:r>
          </w:p>
        </w:tc>
      </w:tr>
      <w:tr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Локализация</w:t>
            </w:r>
          </w:p>
        </w:tc>
        <w:tc>
          <w:tcPr>
            <w:tcW w:type="dxa" w:w="5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/ → 302 → /kz; переключатель RU/KZ</w:t>
            </w:r>
          </w:p>
        </w:tc>
      </w:tr>
    </w:tbl>
    <w:p>
      <w:pPr>
        <w:spacing w:after="120" w:line="276"/>
      </w:pPr>
      <w:r>
        <w:rPr>
          <w:b/>
          <w:bCs/>
          <w:sz w:val="22"/>
          <w:szCs w:val="22"/>
        </w:rPr>
        <w:t xml:space="preserve">Разделы портала. </w:t>
      </w:r>
      <w:r>
        <w:rPr>
          <w:sz w:val="22"/>
          <w:szCs w:val="22"/>
        </w:rPr>
        <w:t xml:space="preserve">Портал объединяет несколько независимых реестров. Дефект относится только к разделу «Регуляторные акты» (собственно реестр требований); прочие реестры внутренних IP-ссылок не содержат.</w:t>
      </w:r>
    </w:p>
    <w:tbl>
      <w:tblPr>
        <w:tblW w:type="dxa" w:w="860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3600"/>
        <w:gridCol w:w="2200"/>
        <w:gridCol w:w="2800"/>
      </w:tblGrid>
      <w:tr>
        <w:trPr>
          <w:tblHeader/>
        </w:trPr>
        <w:tc>
          <w:tcPr>
            <w:tcW w:type="dxa" w:w="360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Раздел</w:t>
            </w:r>
          </w:p>
        </w:tc>
        <w:tc>
          <w:tcPr>
            <w:tcW w:type="dxa" w:w="220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Всего записей</w:t>
            </w:r>
          </w:p>
        </w:tc>
        <w:tc>
          <w:tcPr>
            <w:tcW w:type="dxa" w:w="280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Отношение к требованиям</w:t>
            </w:r>
          </w:p>
        </w:tc>
      </w:tr>
      <w:tr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РЕГУЛЯТОРНЫЕ АКТЫ (предмет аудита)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2 803</w:t>
            </w:r>
          </w:p>
        </w:tc>
        <w:tc>
          <w:tcPr>
            <w:tcW w:type="dxa" w:w="2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Реестр обязательных требований</w:t>
            </w:r>
          </w:p>
        </w:tc>
      </w:tr>
      <w:tr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Проверки бизнеса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17 988</w:t>
            </w:r>
          </w:p>
        </w:tc>
        <w:tc>
          <w:tcPr>
            <w:tcW w:type="dxa" w:w="2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Списки/графики проверок</w:t>
            </w:r>
          </w:p>
        </w:tc>
      </w:tr>
      <w:tr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РСП (субъекты предпр.)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2 852 180</w:t>
            </w:r>
          </w:p>
        </w:tc>
        <w:tc>
          <w:tcPr>
            <w:tcW w:type="dxa" w:w="2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Отдельный реестр</w:t>
            </w:r>
          </w:p>
        </w:tc>
      </w:tr>
      <w:tr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РССП (соц. предпр.)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835</w:t>
            </w:r>
          </w:p>
        </w:tc>
        <w:tc>
          <w:tcPr>
            <w:tcW w:type="dxa" w:w="2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Отдельный реестр</w:t>
            </w:r>
          </w:p>
        </w:tc>
      </w:tr>
      <w:tr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РСРО (саморег. орг.)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135</w:t>
            </w:r>
          </w:p>
        </w:tc>
        <w:tc>
          <w:tcPr>
            <w:tcW w:type="dxa" w:w="2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Отдельный реестр</w:t>
            </w:r>
          </w:p>
        </w:tc>
      </w:tr>
      <w:tr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РДПО (доверенное ПО)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759</w:t>
            </w:r>
          </w:p>
        </w:tc>
        <w:tc>
          <w:tcPr>
            <w:tcW w:type="dxa" w:w="2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Отдельный реестр</w:t>
            </w:r>
          </w:p>
        </w:tc>
      </w:tr>
      <w:tr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РМГП (меры господдержки)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131</w:t>
            </w:r>
          </w:p>
        </w:tc>
        <w:tc>
          <w:tcPr>
            <w:tcW w:type="dxa" w:w="2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Отдельный реестр</w:t>
            </w:r>
          </w:p>
        </w:tc>
      </w:tr>
      <w:tr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РНПО (неправит. орг.)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6 395</w:t>
            </w:r>
          </w:p>
        </w:tc>
        <w:tc>
          <w:tcPr>
            <w:tcW w:type="dxa" w:w="2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Отдельный реестр</w:t>
            </w:r>
          </w:p>
        </w:tc>
      </w:tr>
    </w:tbl>
    <w:p>
      <w:pPr>
        <w:spacing w:after="120" w:line="276"/>
      </w:pPr>
      <w:r>
        <w:rPr>
          <w:b/>
          <w:bCs/>
          <w:sz w:val="22"/>
          <w:szCs w:val="22"/>
        </w:rPr>
        <w:t xml:space="preserve">Где реально хранятся сведения. </w:t>
      </w:r>
      <w:r>
        <w:rPr>
          <w:sz w:val="22"/>
          <w:szCs w:val="22"/>
        </w:rPr>
        <w:t xml:space="preserve">Раздел «Регуляторные акты» хранит только: (1) наименование акта, (2) метку статуса, (3) гиперссылку на текст акта во внешней системе. Сам текст обязательных требований в реестре не хранится.</w:t>
      </w:r>
    </w:p>
    <w:p>
      <w:pPr>
        <w:pStyle w:val="Heading1"/>
        <w:spacing w:after="120" w:before="280"/>
      </w:pPr>
      <w:r>
        <w:t xml:space="preserve">3. Пользовательский сценарий (карточка → «Подробнее»)</w:t>
      </w:r>
    </w:p>
    <w:p>
      <w:pPr>
        <w:spacing w:after="120" w:line="276"/>
      </w:pPr>
      <w:r>
        <w:rPr>
          <w:sz w:val="22"/>
          <w:szCs w:val="22"/>
        </w:rPr>
        <w:t xml:space="preserve">Каждый акт представлен блоком .registry-item. Кнопка «Подробнее»/«Данные» — это JS-аккордеон: она не ведёт на отдельную страницу и не выполняет сетевых запросов, а лишь раскрывает уже присутствующую в HTML таблицу.</w:t>
      </w:r>
    </w:p>
    <w:p>
      <w:pPr>
        <w:spacing w:after="120" w:line="276"/>
      </w:pPr>
      <w:r>
        <w:rPr>
          <w:sz w:val="22"/>
          <w:szCs w:val="22"/>
        </w:rPr>
        <w:t xml:space="preserve">Раскрытая таблица содержит колонки: Регуляторный акт | ОКЭД | Досье | Регуляторный орган | Статус | Срок проведения анализа. Фактическое наполнение по всем 80 карточкам:</w:t>
      </w:r>
    </w:p>
    <w:tbl>
      <w:tblPr>
        <w:tblW w:type="dxa" w:w="860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3200"/>
        <w:gridCol w:w="5400"/>
      </w:tblGrid>
      <w:tr>
        <w:trPr>
          <w:tblHeader/>
        </w:trPr>
        <w:tc>
          <w:tcPr>
            <w:tcW w:type="dxa" w:w="320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Поле</w:t>
            </w:r>
          </w:p>
        </w:tc>
        <w:tc>
          <w:tcPr>
            <w:tcW w:type="dxa" w:w="540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Фактическое состояние</w:t>
            </w:r>
          </w:p>
        </w:tc>
      </w:tr>
      <w:tr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Регуляторный акт</w:t>
            </w:r>
          </w:p>
        </w:tc>
        <w:tc>
          <w:tcPr>
            <w:tcW w:type="dxa" w:w="5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Гиперссылка на текст — в подавляющем большинстве ведёт на внутренний IP</w:t>
            </w:r>
          </w:p>
        </w:tc>
      </w:tr>
      <w:tr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ОКЭД</w:t>
            </w:r>
          </w:p>
        </w:tc>
        <w:tc>
          <w:tcPr>
            <w:tcW w:type="dxa" w:w="5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Пусто (в исходном HTML закомментировано)</w:t>
            </w:r>
          </w:p>
        </w:tc>
      </w:tr>
      <w:tr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Досье</w:t>
            </w:r>
          </w:p>
        </w:tc>
        <w:tc>
          <w:tcPr>
            <w:tcW w:type="dxa" w:w="5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Пусто</w:t>
            </w:r>
          </w:p>
        </w:tc>
      </w:tr>
      <w:tr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Регуляторный орган</w:t>
            </w:r>
          </w:p>
        </w:tc>
        <w:tc>
          <w:tcPr>
            <w:tcW w:type="dxa" w:w="5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«Отсутствует» / пусто</w:t>
            </w:r>
          </w:p>
        </w:tc>
      </w:tr>
      <w:tr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Статус</w:t>
            </w:r>
          </w:p>
        </w:tc>
        <w:tc>
          <w:tcPr>
            <w:tcW w:type="dxa" w:w="5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«Действующий» (единственное встреченное значение — 2 011 из 2 011 строк)</w:t>
            </w:r>
          </w:p>
        </w:tc>
      </w:tr>
      <w:tr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Срок проведения анализа</w:t>
            </w:r>
          </w:p>
        </w:tc>
        <w:tc>
          <w:tcPr>
            <w:tcW w:type="dxa" w:w="5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Пусто</w:t>
            </w:r>
          </w:p>
        </w:tc>
      </w:tr>
    </w:tbl>
    <w:p>
      <w:pPr>
        <w:spacing w:after="60" w:before="120"/>
        <w:jc w:val="center"/>
      </w:pPr>
      <w:r>
        <w:drawing>
          <wp:inline distT="0" distB="0" distL="0" distR="0">
            <wp:extent cx="5905500" cy="4105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Скриншот 1. Раскрытая карточка акта: метаданные пусты, «Регуляторный орган» — «Отсутствует», статус — «Действующий».</w:t>
      </w:r>
    </w:p>
    <w:p>
      <w:pPr>
        <w:pStyle w:val="Heading1"/>
        <w:spacing w:after="120" w:before="280"/>
      </w:pPr>
      <w:r>
        <w:t xml:space="preserve">4. Проверка ссылок и содержимого</w:t>
      </w:r>
    </w:p>
    <w:p>
      <w:pPr>
        <w:pStyle w:val="Heading2"/>
        <w:spacing w:after="100" w:before="220"/>
      </w:pPr>
      <w:r>
        <w:t xml:space="preserve">4.1. Куда ведут ссылки требований (по 80 документам, 2 692 ссылки)</w:t>
      </w:r>
    </w:p>
    <w:tbl>
      <w:tblPr>
        <w:tblW w:type="dxa" w:w="860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4200"/>
        <w:gridCol w:w="1400"/>
        <w:gridCol w:w="1200"/>
        <w:gridCol w:w="1800"/>
      </w:tblGrid>
      <w:tr>
        <w:trPr>
          <w:tblHeader/>
        </w:trPr>
        <w:tc>
          <w:tcPr>
            <w:tcW w:type="dxa" w:w="420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Категория назначения</w:t>
            </w:r>
          </w:p>
        </w:tc>
        <w:tc>
          <w:tcPr>
            <w:tcW w:type="dxa" w:w="140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Ссылок</w:t>
            </w:r>
          </w:p>
        </w:tc>
        <w:tc>
          <w:tcPr>
            <w:tcW w:type="dxa" w:w="120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Доля</w:t>
            </w:r>
          </w:p>
        </w:tc>
        <w:tc>
          <w:tcPr>
            <w:tcW w:type="dxa" w:w="180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Достижимо извне</w:t>
            </w:r>
          </w:p>
        </w:tc>
      </w:tr>
      <w:tr>
        <w:tc>
          <w:tcPr>
            <w:tcW w:type="dxa" w:w="4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Внутренний IP 10.61.42.188 (зеркало ИПС «Әділет»)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1 317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48,9 %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НЕТ</w:t>
            </w:r>
          </w:p>
        </w:tc>
      </w:tr>
      <w:tr>
        <w:tc>
          <w:tcPr>
            <w:tcW w:type="dxa" w:w="4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Внутренний IP 10.61.41.253 (внутр. client-система)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1 044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38,8 %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НЕТ</w:t>
            </w:r>
          </w:p>
        </w:tc>
      </w:tr>
      <w:tr>
        <w:tc>
          <w:tcPr>
            <w:tcW w:type="dxa" w:w="4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adilet.zan.kz (публичный)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328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12,2 %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Да</w:t>
            </w:r>
          </w:p>
        </w:tc>
      </w:tr>
      <w:tr>
        <w:tc>
          <w:tcPr>
            <w:tcW w:type="dxa" w:w="4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rsp.gov.kz (битые self-ссылки)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0,1 %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404</w:t>
            </w:r>
          </w:p>
        </w:tc>
      </w:tr>
    </w:tbl>
    <w:p>
      <w:pPr>
        <w:spacing w:after="120" w:line="276"/>
      </w:pPr>
      <w:r>
        <w:rPr>
          <w:b/>
          <w:bCs/>
          <w:sz w:val="22"/>
          <w:szCs w:val="22"/>
        </w:rPr>
        <w:t xml:space="preserve">Итого: 2 361 из 2 692 ссылок (≈ 87,7 %) ведут на приватные IP-адреса RFC 1918 (10.0.0.0/8), не маршрутизируемые в публичной сети. </w:t>
      </w:r>
      <w:r>
        <w:rPr>
          <w:sz w:val="22"/>
          <w:szCs w:val="22"/>
        </w:rPr>
        <w:t xml:space="preserve">На главной странице картина аналогична: из 1 262 ссылок 903 (≈ 72 %) — на внутренние IP. Проблема сквозная и охватывает кодексы, законы, постановления и приказы.</w:t>
      </w:r>
    </w:p>
    <w:p>
      <w:pPr>
        <w:pStyle w:val="Heading2"/>
        <w:spacing w:after="100" w:before="220"/>
      </w:pPr>
      <w:r>
        <w:t xml:space="preserve">4.2. Фактическая проверка достижимости (в браузере)</w:t>
      </w:r>
    </w:p>
    <w:tbl>
      <w:tblPr>
        <w:tblW w:type="dxa" w:w="860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3100"/>
        <w:gridCol w:w="3200"/>
        <w:gridCol w:w="1600"/>
        <w:gridCol w:w="700"/>
      </w:tblGrid>
      <w:tr>
        <w:trPr>
          <w:tblHeader/>
        </w:trPr>
        <w:tc>
          <w:tcPr>
            <w:tcW w:type="dxa" w:w="310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Тест</w:t>
            </w:r>
          </w:p>
        </w:tc>
        <w:tc>
          <w:tcPr>
            <w:tcW w:type="dxa" w:w="320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Результат в браузере</w:t>
            </w:r>
          </w:p>
        </w:tc>
        <w:tc>
          <w:tcPr>
            <w:tcW w:type="dxa" w:w="160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URL-хост</w:t>
            </w:r>
          </w:p>
        </w:tc>
        <w:tc>
          <w:tcPr>
            <w:tcW w:type="dxa" w:w="70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HTTP</w:t>
            </w:r>
          </w:p>
        </w:tc>
      </w:tr>
      <w:tr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Внутр. IP (зеркало Әділет)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ERR_TUNNEL_CONNECTION_FAILED — «This site can’t be reached»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10.61.42.188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Внутр. IP (client-система)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ERR_TUNNEL_CONNECTION_FAILED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10.61.41.253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Публичный Әділет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Загружается: «ЭКОЛОГИЧЕСКИЙ КОДЕКС… ИПС "Әділет"»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adilet.zan.kz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200</w:t>
            </w:r>
          </w:p>
        </w:tc>
      </w:tr>
      <w:tr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Искажённая self-ссылка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Страница «404 NOT FOUND»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rsp.gov.kz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404</w:t>
            </w:r>
          </w:p>
        </w:tc>
      </w:tr>
    </w:tbl>
    <w:p>
      <w:pPr>
        <w:spacing w:after="60" w:before="120"/>
        <w:jc w:val="center"/>
      </w:pPr>
      <w:r>
        <w:drawing>
          <wp:inline distT="0" distB="0" distL="0" distR="0">
            <wp:extent cx="5905500" cy="3895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Скриншот 2. Переход по ссылке требования на внутренний IP 10.61.42.188 → ERR_TUNNEL_CONNECTION_FAILED.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3895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Скриншот 3. Для сравнения: публичный adilet.zan.kz открывается (HTTP 200).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3895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Скриншот 4. Битая self-ссылка (утерян префикс https://) → HTTP 404.</w:t>
      </w:r>
    </w:p>
    <w:p>
      <w:pPr>
        <w:spacing w:after="120" w:line="276"/>
      </w:pPr>
      <w:r>
        <w:rPr>
          <w:b/>
          <w:bCs/>
          <w:sz w:val="22"/>
          <w:szCs w:val="22"/>
        </w:rPr>
        <w:t xml:space="preserve">Природа внутренних адресов. </w:t>
      </w:r>
      <w:r>
        <w:rPr>
          <w:sz w:val="22"/>
          <w:szCs w:val="22"/>
        </w:rPr>
        <w:t xml:space="preserve">10.61.42.188 и 10.61.41.253 — частные адреса ведомственной сети, недостижимые для любого пользователя вне государственного интранета. Со стороны среды аудита обращение блокируется с явной причиной private_dest_ip (HTTP 403), что подтверждает их приватную природу.</w:t>
      </w:r>
    </w:p>
    <w:p>
      <w:pPr>
        <w:pStyle w:val="Heading2"/>
        <w:spacing w:after="100" w:before="220"/>
      </w:pPr>
      <w:r>
        <w:t xml:space="preserve">4.3. Содержимое: хранит ли реестр сами требования?</w:t>
      </w:r>
    </w:p>
    <w:p>
      <w:pPr>
        <w:spacing w:after="120" w:line="276"/>
      </w:pPr>
      <w:r>
        <w:rPr>
          <w:b/>
          <w:bCs/>
          <w:sz w:val="22"/>
          <w:szCs w:val="22"/>
        </w:rPr>
        <w:t xml:space="preserve">Нет. </w:t>
      </w:r>
      <w:r>
        <w:rPr>
          <w:sz w:val="22"/>
          <w:szCs w:val="22"/>
        </w:rPr>
        <w:t xml:space="preserve">Реестр не содержит текста обязательных требований и выступает указателем (каталогом) ссылок: наименование акта → внешняя ссылка. При этом 87,7 % ссылок ведут на недоступные извне адреса; 12,2 % дублируют публичный adilet.zan.kz; добавленной ценности карточка не даёт.</w:t>
      </w:r>
    </w:p>
    <w:p>
      <w:r>
        <w:br w:type="page"/>
      </w:r>
    </w:p>
    <w:p>
      <w:pPr>
        <w:pStyle w:val="Heading1"/>
        <w:spacing w:after="120" w:before="280"/>
      </w:pPr>
      <w:r>
        <w:t xml:space="preserve">5. Таблица проверенных документов (25 из 80)</w:t>
      </w:r>
    </w:p>
    <w:p>
      <w:pPr>
        <w:spacing w:after="120" w:line="276"/>
      </w:pPr>
      <w:r>
        <w:rPr>
          <w:sz w:val="22"/>
          <w:szCs w:val="22"/>
        </w:rPr>
        <w:t xml:space="preserve">Формат ячейки «Назначение ссылок»: хост : количество ссылок в карточке.</w:t>
      </w:r>
    </w:p>
    <w:tbl>
      <w:tblPr>
        <w:tblW w:type="dxa" w:w="860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500"/>
        <w:gridCol w:w="1100"/>
        <w:gridCol w:w="3200"/>
        <w:gridCol w:w="900"/>
        <w:gridCol w:w="2900"/>
      </w:tblGrid>
      <w:tr>
        <w:trPr>
          <w:tblHeader/>
        </w:trPr>
        <w:tc>
          <w:tcPr>
            <w:tcW w:type="dxa" w:w="50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10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Тип</w:t>
            </w:r>
          </w:p>
        </w:tc>
        <w:tc>
          <w:tcPr>
            <w:tcW w:type="dxa" w:w="320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Документ (сокр.)</w:t>
            </w:r>
          </w:p>
        </w:tc>
        <w:tc>
          <w:tcPr>
            <w:tcW w:type="dxa" w:w="90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Ссылок</w:t>
            </w:r>
          </w:p>
        </w:tc>
        <w:tc>
          <w:tcPr>
            <w:tcW w:type="dxa" w:w="290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Назначение ссылок</w:t>
            </w:r>
          </w:p>
        </w:tc>
      </w:tr>
      <w:tr>
        <w:tc>
          <w:tcPr>
            <w:tcW w:type="dxa" w:w="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Кодекс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Бюджетный кодекс РК (№ 95-IV)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10.61.42.188</w:t>
            </w:r>
          </w:p>
        </w:tc>
      </w:tr>
      <w:tr>
        <w:tc>
          <w:tcPr>
            <w:tcW w:type="dxa" w:w="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Кодекс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Земельный кодекс РК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10.61.42.188</w:t>
            </w:r>
          </w:p>
        </w:tc>
      </w:tr>
      <w:tr>
        <w:tc>
          <w:tcPr>
            <w:tcW w:type="dxa" w:w="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Кодекс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Экологический кодекс РК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531</w:t>
            </w:r>
          </w:p>
        </w:tc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10.61.42.188:199; 10.61.41.253:54; adilet:276; битые:2</w:t>
            </w:r>
          </w:p>
        </w:tc>
      </w:tr>
      <w:tr>
        <w:tc>
          <w:tcPr>
            <w:tcW w:type="dxa" w:w="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Кодекс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О здоровье народа и системе здравоохранения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119</w:t>
            </w:r>
          </w:p>
        </w:tc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10.61.42.188</w:t>
            </w:r>
          </w:p>
        </w:tc>
      </w:tr>
      <w:tr>
        <w:tc>
          <w:tcPr>
            <w:tcW w:type="dxa" w:w="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Кодекс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О недрах и недропользовании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182</w:t>
            </w:r>
          </w:p>
        </w:tc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10.61.42.188</w:t>
            </w:r>
          </w:p>
        </w:tc>
      </w:tr>
      <w:tr>
        <w:tc>
          <w:tcPr>
            <w:tcW w:type="dxa" w:w="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Кодекс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О таможенном регулировании в РК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378</w:t>
            </w:r>
          </w:p>
        </w:tc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10.61.41.253 (все)</w:t>
            </w:r>
          </w:p>
        </w:tc>
      </w:tr>
      <w:tr>
        <w:tc>
          <w:tcPr>
            <w:tcW w:type="dxa" w:w="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Кодекс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Гражданский процессуальный кодекс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10.61.42.188</w:t>
            </w:r>
          </w:p>
        </w:tc>
      </w:tr>
      <w:tr>
        <w:tc>
          <w:tcPr>
            <w:tcW w:type="dxa" w:w="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Кодекс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Предпринимательский кодекс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64</w:t>
            </w:r>
          </w:p>
        </w:tc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10.61.42.188:12; adilet:52</w:t>
            </w:r>
          </w:p>
        </w:tc>
      </w:tr>
      <w:tr>
        <w:tc>
          <w:tcPr>
            <w:tcW w:type="dxa" w:w="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Кодекс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Уголовно-процессуальный кодекс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10.61.42.188</w:t>
            </w:r>
          </w:p>
        </w:tc>
      </w:tr>
      <w:tr>
        <w:tc>
          <w:tcPr>
            <w:tcW w:type="dxa" w:w="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Кодекс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Гражданский кодекс (Особенная часть)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10.61.42.188</w:t>
            </w:r>
          </w:p>
        </w:tc>
      </w:tr>
      <w:tr>
        <w:tc>
          <w:tcPr>
            <w:tcW w:type="dxa" w:w="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Кодекс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Об административных правонарушениях (КоАП)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10.61.41.253:2; 10.61.42.188:2</w:t>
            </w:r>
          </w:p>
        </w:tc>
      </w:tr>
      <w:tr>
        <w:tc>
          <w:tcPr>
            <w:tcW w:type="dxa" w:w="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Кодекс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Водный кодекс РК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83</w:t>
            </w:r>
          </w:p>
        </w:tc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10.61.42.188</w:t>
            </w:r>
          </w:p>
        </w:tc>
      </w:tr>
      <w:tr>
        <w:tc>
          <w:tcPr>
            <w:tcW w:type="dxa" w:w="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13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Кодекс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Лесной кодекс РК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118</w:t>
            </w:r>
          </w:p>
        </w:tc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10.61.42.188</w:t>
            </w:r>
          </w:p>
        </w:tc>
      </w:tr>
      <w:tr>
        <w:tc>
          <w:tcPr>
            <w:tcW w:type="dxa" w:w="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Кодекс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Налоговый кодекс РК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591</w:t>
            </w:r>
          </w:p>
        </w:tc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10.61.41.253:590; битые:1</w:t>
            </w:r>
          </w:p>
        </w:tc>
      </w:tr>
      <w:tr>
        <w:tc>
          <w:tcPr>
            <w:tcW w:type="dxa" w:w="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Кодекс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Уголовно-исполнительный кодекс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10.61.42.188</w:t>
            </w:r>
          </w:p>
        </w:tc>
      </w:tr>
      <w:tr>
        <w:tc>
          <w:tcPr>
            <w:tcW w:type="dxa" w:w="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16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Кодекс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Уголовный кодекс РК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10.61.42.188</w:t>
            </w:r>
          </w:p>
        </w:tc>
      </w:tr>
      <w:tr>
        <w:tc>
          <w:tcPr>
            <w:tcW w:type="dxa" w:w="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17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Кодекс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Гражданский кодекс РК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10.61.42.188</w:t>
            </w:r>
          </w:p>
        </w:tc>
      </w:tr>
      <w:tr>
        <w:tc>
          <w:tcPr>
            <w:tcW w:type="dxa" w:w="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18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Кодекс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Трудовой кодекс РК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122</w:t>
            </w:r>
          </w:p>
        </w:tc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10.61.42.188</w:t>
            </w:r>
          </w:p>
        </w:tc>
      </w:tr>
      <w:tr>
        <w:tc>
          <w:tcPr>
            <w:tcW w:type="dxa" w:w="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19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Кодекс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О браке (супружестве) и семье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214</w:t>
            </w:r>
          </w:p>
        </w:tc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10.61.42.188</w:t>
            </w:r>
          </w:p>
        </w:tc>
      </w:tr>
      <w:tr>
        <w:tc>
          <w:tcPr>
            <w:tcW w:type="dxa" w:w="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Закон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О растительном мире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10.61.42.188</w:t>
            </w:r>
          </w:p>
        </w:tc>
      </w:tr>
      <w:tr>
        <w:tc>
          <w:tcPr>
            <w:tcW w:type="dxa" w:w="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21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Закон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О развитии агломераций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10.61.42.188</w:t>
            </w:r>
          </w:p>
        </w:tc>
      </w:tr>
      <w:tr>
        <w:tc>
          <w:tcPr>
            <w:tcW w:type="dxa" w:w="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22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Закон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О восстановлении платёжеспособности и банкротстве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10.61.42.188</w:t>
            </w:r>
          </w:p>
        </w:tc>
      </w:tr>
      <w:tr>
        <w:tc>
          <w:tcPr>
            <w:tcW w:type="dxa" w:w="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23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Закон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О контроле специфических товаров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42</w:t>
            </w:r>
          </w:p>
        </w:tc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10.61.42.188</w:t>
            </w:r>
          </w:p>
        </w:tc>
      </w:tr>
      <w:tr>
        <w:tc>
          <w:tcPr>
            <w:tcW w:type="dxa" w:w="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24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Закон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О геодезии, картографии и простр. данных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10.61.42.188</w:t>
            </w:r>
          </w:p>
        </w:tc>
      </w:tr>
      <w:tr>
        <w:tc>
          <w:tcPr>
            <w:tcW w:type="dxa" w:w="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25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Закон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Об объёмах трансфертов общего характера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10.61.42.188</w:t>
            </w:r>
          </w:p>
        </w:tc>
      </w:tr>
    </w:tbl>
    <w:p>
      <w:pPr>
        <w:spacing w:after="120" w:line="276"/>
      </w:pPr>
      <w:r>
        <w:rPr>
          <w:sz w:val="22"/>
          <w:szCs w:val="22"/>
        </w:rPr>
        <w:t xml:space="preserve">Все 25 документов имеют статус «Действующий». Поисковыми запросами дополнительно подтверждено наличие подзаконных актов: приказы — 1 773, постановления — 97, указы — 8; их ссылки ведут преимущественно на тот же 10.61.42.188.</w:t>
      </w:r>
    </w:p>
    <w:p>
      <w:pPr>
        <w:pStyle w:val="Heading1"/>
        <w:spacing w:after="120" w:before="280"/>
      </w:pPr>
      <w:r>
        <w:t xml:space="preserve">6. Таблица ошибок</w:t>
      </w:r>
    </w:p>
    <w:tbl>
      <w:tblPr>
        <w:tblW w:type="dxa" w:w="860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500"/>
        <w:gridCol w:w="2600"/>
        <w:gridCol w:w="3600"/>
        <w:gridCol w:w="1900"/>
      </w:tblGrid>
      <w:tr>
        <w:trPr>
          <w:tblHeader/>
        </w:trPr>
        <w:tc>
          <w:tcPr>
            <w:tcW w:type="dxa" w:w="50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№</w:t>
            </w:r>
          </w:p>
        </w:tc>
        <w:tc>
          <w:tcPr>
            <w:tcW w:type="dxa" w:w="260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Тип проблемы</w:t>
            </w:r>
          </w:p>
        </w:tc>
        <w:tc>
          <w:tcPr>
            <w:tcW w:type="dxa" w:w="360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Пример</w:t>
            </w:r>
          </w:p>
        </w:tc>
        <w:tc>
          <w:tcPr>
            <w:tcW w:type="dxa" w:w="190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Результат</w:t>
            </w:r>
          </w:p>
        </w:tc>
      </w:tr>
      <w:tr>
        <w:tc>
          <w:tcPr>
            <w:tcW w:type="dxa" w:w="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E-1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Ссылки на внутренний IP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10.61.42.188/rus/docs/K2100000400#z3653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ERR_TUNNEL_CONNECTION_FAILED</w:t>
            </w:r>
          </w:p>
        </w:tc>
      </w:tr>
      <w:tr>
        <w:tc>
          <w:tcPr>
            <w:tcW w:type="dxa" w:w="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E-2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Ссылки на внутренний IP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10.61.41.253/client/#!/doc/117004/rus/29769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ERR_TUNNEL_CONNECTION_FAILED</w:t>
            </w:r>
          </w:p>
        </w:tc>
      </w:tr>
      <w:tr>
        <w:tc>
          <w:tcPr>
            <w:tcW w:type="dxa" w:w="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E-3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Битая self-ссылка (утерян https://)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rsp.gov.kz/adilet.zan.kz/rus/docs/K2100000400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HTTP 404</w:t>
            </w:r>
          </w:p>
        </w:tc>
      </w:tr>
      <w:tr>
        <w:tc>
          <w:tcPr>
            <w:tcW w:type="dxa" w:w="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E-4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Искажённая ссылка (мусорная конкатенация)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rsp.gov.kz/%D0%BC%D1%8Fhttps://10.61.41.253/...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HTTP 404 (1 редирект)</w:t>
            </w:r>
          </w:p>
        </w:tc>
      </w:tr>
      <w:tr>
        <w:tc>
          <w:tcPr>
            <w:tcW w:type="dxa" w:w="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E-5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Незаполненные метаданные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ОКЭД / Досье / Орган / Срок анализа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Пусто / «Отсутствует»</w:t>
            </w:r>
          </w:p>
        </w:tc>
      </w:tr>
      <w:tr>
        <w:tc>
          <w:tcPr>
            <w:tcW w:type="dxa" w:w="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E-6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Раскрытие внутренней инфраструктуры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Приватные IP в публичном HTML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Утечка топологии сети</w:t>
            </w:r>
          </w:p>
        </w:tc>
      </w:tr>
    </w:tbl>
    <w:p>
      <w:pPr>
        <w:spacing w:after="120" w:line="276"/>
      </w:pPr>
      <w:r>
        <w:rPr>
          <w:sz w:val="22"/>
          <w:szCs w:val="22"/>
        </w:rPr>
        <w:t xml:space="preserve">Циклических редиректов не обнаружено. Ссылки на localhost не обнаружены. Основной класс — недостижимые внутренние адреса и отсутствие содержимого.</w:t>
      </w:r>
    </w:p>
    <w:p>
      <w:pPr>
        <w:pStyle w:val="Heading1"/>
        <w:spacing w:after="120" w:before="280"/>
      </w:pPr>
      <w:r>
        <w:t xml:space="preserve">7. Перечень редиректов</w:t>
      </w:r>
    </w:p>
    <w:tbl>
      <w:tblPr>
        <w:tblW w:type="dxa" w:w="860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3600"/>
        <w:gridCol w:w="3400"/>
        <w:gridCol w:w="1600"/>
      </w:tblGrid>
      <w:tr>
        <w:trPr>
          <w:tblHeader/>
        </w:trPr>
        <w:tc>
          <w:tcPr>
            <w:tcW w:type="dxa" w:w="360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Исходный URL</w:t>
            </w:r>
          </w:p>
        </w:tc>
        <w:tc>
          <w:tcPr>
            <w:tcW w:type="dxa" w:w="340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Цепочка</w:t>
            </w:r>
          </w:p>
        </w:tc>
        <w:tc>
          <w:tcPr>
            <w:tcW w:type="dxa" w:w="160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Итог</w:t>
            </w:r>
          </w:p>
        </w:tc>
      </w:tr>
      <w:tr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rsp.gov.kz</w:t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302 → rsp.gov.kz/kz → 200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Норма (локаль)</w:t>
            </w:r>
          </w:p>
        </w:tc>
      </w:tr>
      <w:tr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adilet.zan.kz/rus/docs/K2100000400</w:t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200 (без редиректов)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Работает</w:t>
            </w:r>
          </w:p>
        </w:tc>
      </w:tr>
      <w:tr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rsp.gov.kz/adilet.zan.kz/rus/docs/…</w:t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404 (без редиректов)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Битая</w:t>
            </w:r>
          </w:p>
        </w:tc>
      </w:tr>
      <w:tr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rsp.gov.kz/%D0%BC%D1%8Fhttps://10.61.41.253/…</w:t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 редирект → /public/… → 404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Битая</w:t>
            </w:r>
          </w:p>
        </w:tc>
      </w:tr>
      <w:tr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10.61.42.188/… , 10.61.41.253/…</w:t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Соединение не устанавливается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Недостижимо</w:t>
            </w:r>
          </w:p>
        </w:tc>
      </w:tr>
    </w:tbl>
    <w:p>
      <w:pPr>
        <w:pStyle w:val="Heading1"/>
        <w:spacing w:after="120" w:before="280"/>
      </w:pPr>
      <w:r>
        <w:t xml:space="preserve">8. Сетевой анализ (Network)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При открытии главной и раскрытии карточек XHR/fetch-запросов — 0. Данные полностью встроены в HTML при серверном рендеринге.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Внешние хосты при загрузке страницы: rsp.gov.kz (свой), fonts.googleapis.com, fonts.gstatic.com (Google Fonts). Иных сторонних сервисов не зафиксировано.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Полный HAR-файл сессии сохранён (evidence/session.har).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Признаков публичного API (REST/GraphQL/JSON) не обнаружено — интеграция и выгрузка данных внешними потребителями невозможны.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3895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Скриншот 5. Работающий поиск с фильтрами (год анализа, тип РА, ОКЭД, сфера деятельности).</w:t>
      </w:r>
    </w:p>
    <w:p>
      <w:r>
        <w:br w:type="page"/>
      </w:r>
    </w:p>
    <w:p>
      <w:pPr>
        <w:pStyle w:val="Heading1"/>
        <w:spacing w:after="120" w:before="280"/>
      </w:pPr>
      <w:r>
        <w:t xml:space="preserve">9. Соответствие назначению и архитектурный аудит</w:t>
      </w:r>
    </w:p>
    <w:p>
      <w:pPr>
        <w:pStyle w:val="Heading2"/>
        <w:spacing w:after="100" w:before="220"/>
      </w:pPr>
      <w:r>
        <w:t xml:space="preserve">9.1. Возможности, ожидаемые от Реестра обязательных требований</w:t>
      </w:r>
    </w:p>
    <w:tbl>
      <w:tblPr>
        <w:tblW w:type="dxa" w:w="860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4600"/>
        <w:gridCol w:w="1400"/>
        <w:gridCol w:w="2600"/>
      </w:tblGrid>
      <w:tr>
        <w:trPr>
          <w:tblHeader/>
        </w:trPr>
        <w:tc>
          <w:tcPr>
            <w:tcW w:type="dxa" w:w="460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Ожидаемая возможность</w:t>
            </w:r>
          </w:p>
        </w:tc>
        <w:tc>
          <w:tcPr>
            <w:tcW w:type="dxa" w:w="140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Наличие</w:t>
            </w:r>
          </w:p>
        </w:tc>
        <w:tc>
          <w:tcPr>
            <w:tcW w:type="dxa" w:w="260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Комментарий</w:t>
            </w:r>
          </w:p>
        </w:tc>
      </w:tr>
      <w:tr>
        <w:tc>
          <w:tcPr>
            <w:tcW w:type="dxa" w:w="4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Само обязательное требование (текст)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НЕТ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Хранится только ссылка</w:t>
            </w:r>
          </w:p>
        </w:tc>
      </w:tr>
      <w:tr>
        <w:tc>
          <w:tcPr>
            <w:tcW w:type="dxa" w:w="4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Источник (норма/акт)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частично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Ссылка есть, но в 87,7 % недостижима</w:t>
            </w:r>
          </w:p>
        </w:tc>
      </w:tr>
      <w:tr>
        <w:tc>
          <w:tcPr>
            <w:tcW w:type="dxa" w:w="4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Статус актуальности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частично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Только метка «Действующий»</w:t>
            </w:r>
          </w:p>
        </w:tc>
      </w:tr>
      <w:tr>
        <w:tc>
          <w:tcPr>
            <w:tcW w:type="dxa" w:w="4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Сведения о контролирующем органе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НЕТ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«Отсутствует» / пусто</w:t>
            </w:r>
          </w:p>
        </w:tc>
      </w:tr>
      <w:tr>
        <w:tc>
          <w:tcPr>
            <w:tcW w:type="dxa" w:w="4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Связь с проверками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НЕТ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Привязки к конкретному требованию нет</w:t>
            </w:r>
          </w:p>
        </w:tc>
      </w:tr>
      <w:tr>
        <w:tc>
          <w:tcPr>
            <w:tcW w:type="dxa" w:w="4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История изменений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НЕТ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Не обнаружена</w:t>
            </w:r>
          </w:p>
        </w:tc>
      </w:tr>
      <w:tr>
        <w:tc>
          <w:tcPr>
            <w:tcW w:type="dxa" w:w="4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Редакции требований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НЕТ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Не обнаружены</w:t>
            </w:r>
          </w:p>
        </w:tc>
      </w:tr>
      <w:tr>
        <w:tc>
          <w:tcPr>
            <w:tcW w:type="dxa" w:w="4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ОКЭД / сфера / досье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НЕТ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Поля пусты</w:t>
            </w:r>
          </w:p>
        </w:tc>
      </w:tr>
    </w:tbl>
    <w:p>
      <w:pPr>
        <w:pStyle w:val="Heading2"/>
        <w:spacing w:after="100" w:before="220"/>
      </w:pPr>
      <w:r>
        <w:t xml:space="preserve">9.2. Архитектурные выводы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Хранение данных: </w:t>
      </w:r>
      <w:r>
        <w:rPr>
          <w:sz w:val="22"/>
          <w:szCs w:val="22"/>
        </w:rPr>
        <w:t xml:space="preserve">тексты требований в системе не хранятся; реестр — это индекс ссылок.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Reverse proxy / переписывание ссылок: </w:t>
      </w:r>
      <w:r>
        <w:rPr>
          <w:sz w:val="22"/>
          <w:szCs w:val="22"/>
        </w:rPr>
        <w:t xml:space="preserve">отсутствует нормализация — внутренние адреса 10.61.x.x попадают в публичный HTML «как есть».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Признаки незавершённости / тестовой инфраструктуры: </w:t>
      </w:r>
      <w:r>
        <w:rPr>
          <w:sz w:val="22"/>
          <w:szCs w:val="22"/>
        </w:rPr>
        <w:t xml:space="preserve">налицо. Наиболее вероятные причины — ошибочная публикация внутренних данных в открытый контур; незавершённая настройка reverse proxy; остатки тестового окружения (жёстко зашитые IP); разнородность источников (два внутренних узла + adilet) без унификации.</w:t>
      </w:r>
    </w:p>
    <w:p>
      <w:pPr>
        <w:pStyle w:val="Heading1"/>
        <w:spacing w:after="120" w:before="280"/>
      </w:pPr>
      <w:r>
        <w:t xml:space="preserve">10. UX-аудит (глазами пользователя)</w:t>
      </w:r>
    </w:p>
    <w:tbl>
      <w:tblPr>
        <w:tblW w:type="dxa" w:w="860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4200"/>
        <w:gridCol w:w="4400"/>
      </w:tblGrid>
      <w:tr>
        <w:trPr>
          <w:tblHeader/>
        </w:trPr>
        <w:tc>
          <w:tcPr>
            <w:tcW w:type="dxa" w:w="420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Вопрос</w:t>
            </w:r>
          </w:p>
        </w:tc>
        <w:tc>
          <w:tcPr>
            <w:tcW w:type="dxa" w:w="440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Ответ по итогам сценария</w:t>
            </w:r>
          </w:p>
        </w:tc>
      </w:tr>
      <w:tr>
        <w:tc>
          <w:tcPr>
            <w:tcW w:type="dxa" w:w="4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Можно ли быстро найти требование?</w:t>
            </w:r>
          </w:p>
        </w:tc>
        <w:tc>
          <w:tcPr>
            <w:tcW w:type="dxa" w:w="4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Найти акт — да (поиск и фильтры работают). Найти само требование — нет.</w:t>
            </w:r>
          </w:p>
        </w:tc>
      </w:tr>
      <w:tr>
        <w:tc>
          <w:tcPr>
            <w:tcW w:type="dxa" w:w="4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Понятно ли, что происходит после «Подробнее»?</w:t>
            </w:r>
          </w:p>
        </w:tc>
        <w:tc>
          <w:tcPr>
            <w:tcW w:type="dxa" w:w="4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Частично: раскрывается таблица с почти пустыми полями и ссылкой.</w:t>
            </w:r>
          </w:p>
        </w:tc>
      </w:tr>
      <w:tr>
        <w:tc>
          <w:tcPr>
            <w:tcW w:type="dxa" w:w="4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Ощущение постоянного ухода с портала?</w:t>
            </w:r>
          </w:p>
        </w:tc>
        <w:tc>
          <w:tcPr>
            <w:tcW w:type="dxa" w:w="4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Да — целевое действие всегда уводит на внешний ресурс.</w:t>
            </w:r>
          </w:p>
        </w:tc>
      </w:tr>
      <w:tr>
        <w:tc>
          <w:tcPr>
            <w:tcW w:type="dxa" w:w="4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Есть ли ценность против прямого поиска в Әділет?</w:t>
            </w:r>
          </w:p>
        </w:tc>
        <w:tc>
          <w:tcPr>
            <w:tcW w:type="dxa" w:w="4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Практически нет; в 87,7 % случаев переход завершается ошибкой.</w:t>
            </w:r>
          </w:p>
        </w:tc>
      </w:tr>
    </w:tbl>
    <w:p>
      <w:pPr>
        <w:pStyle w:val="Heading1"/>
        <w:spacing w:after="120" w:before="280"/>
      </w:pPr>
      <w:r>
        <w:t xml:space="preserve">11. Реестр или каталог ссылок?</w:t>
      </w:r>
    </w:p>
    <w:p>
      <w:pPr>
        <w:spacing w:after="120" w:line="276"/>
      </w:pPr>
      <w:r>
        <w:rPr>
          <w:b/>
          <w:bCs/>
          <w:sz w:val="22"/>
          <w:szCs w:val="22"/>
        </w:rPr>
        <w:t xml:space="preserve">Вывод: в части «Регуляторные акты» текущая реализация является каталогом (индексом) ссылок на внешние нормативные документы, а не полноценным Реестром обязательных требований.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Сам текст обязательного требования в системе не хранится.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87,7 % ссылок ведут на недостижимые внутренние IP → для внешнего пользователя это «мёртвый» каталог.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Ключевые атрибуты требования (орган, связь с проверками, история, редакции, ОКЭД, досье) не заполнены.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Работающие ссылки (12,2 %) лишь дублируют публичный adilet.zan.kz.</w:t>
      </w:r>
    </w:p>
    <w:p>
      <w:r>
        <w:br w:type="page"/>
      </w:r>
    </w:p>
    <w:p>
      <w:pPr>
        <w:pStyle w:val="Heading1"/>
        <w:spacing w:after="120" w:before="280"/>
      </w:pPr>
      <w:r>
        <w:t xml:space="preserve">12. Итоговая экспертная оценка (10-балльная шкала)</w:t>
      </w:r>
    </w:p>
    <w:tbl>
      <w:tblPr>
        <w:tblW w:type="dxa" w:w="860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5000"/>
        <w:gridCol w:w="1200"/>
        <w:gridCol w:w="2400"/>
      </w:tblGrid>
      <w:tr>
        <w:trPr>
          <w:tblHeader/>
        </w:trPr>
        <w:tc>
          <w:tcPr>
            <w:tcW w:type="dxa" w:w="500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Критерий</w:t>
            </w:r>
          </w:p>
        </w:tc>
        <w:tc>
          <w:tcPr>
            <w:tcW w:type="dxa" w:w="120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Оценка</w:t>
            </w:r>
          </w:p>
        </w:tc>
        <w:tc>
          <w:tcPr>
            <w:tcW w:type="dxa" w:w="240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Кратко</w:t>
            </w:r>
          </w:p>
        </w:tc>
      </w:tr>
      <w:tr>
        <w:tc>
          <w:tcPr>
            <w:tcW w:type="dxa" w:w="5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Функциональность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 / 10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Целевая функция неисправна в ~88 %</w:t>
            </w:r>
          </w:p>
        </w:tc>
      </w:tr>
      <w:tr>
        <w:tc>
          <w:tcPr>
            <w:tcW w:type="dxa" w:w="5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Полнота реализации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 / 10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Нет текста, пустые метаданные, битые ссылки</w:t>
            </w:r>
          </w:p>
        </w:tc>
      </w:tr>
      <w:tr>
        <w:tc>
          <w:tcPr>
            <w:tcW w:type="dxa" w:w="5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Качество архитектуры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 / 10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Внутренние IP в HTML, нет нормализации, нет API</w:t>
            </w:r>
          </w:p>
        </w:tc>
      </w:tr>
      <w:tr>
        <w:tc>
          <w:tcPr>
            <w:tcW w:type="dxa" w:w="5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Пользовательский опыт (UX)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 / 10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Постоянный уход и обрыв на ошибке</w:t>
            </w:r>
          </w:p>
        </w:tc>
      </w:tr>
      <w:tr>
        <w:tc>
          <w:tcPr>
            <w:tcW w:type="dxa" w:w="5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Соответствие назначению Реестра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 / 10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Каталог ссылок, а не реестр требований</w:t>
            </w:r>
          </w:p>
        </w:tc>
      </w:tr>
      <w:tr>
        <w:tc>
          <w:tcPr>
            <w:tcW w:type="dxa" w:w="5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Техническое качество реализации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 / 10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Стек стабилен, но грубые дефекты</w:t>
            </w:r>
          </w:p>
        </w:tc>
      </w:tr>
      <w:tr>
        <w:tc>
          <w:tcPr>
            <w:tcW w:type="dxa" w:w="5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Соответствие принципам современных гос ИС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 / 10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Нет API/выгрузки, немаршрутизируемые адреса</w:t>
            </w:r>
          </w:p>
        </w:tc>
      </w:tr>
      <w:tr>
        <w:tc>
          <w:tcPr>
            <w:tcW w:type="dxa" w:w="5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Интегральная оценка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≈ 2,0 / 10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Не выполняет назначение для внешнего пользователя</w:t>
            </w:r>
          </w:p>
        </w:tc>
      </w:tr>
    </w:tbl>
    <w:p>
      <w:pPr>
        <w:pStyle w:val="Heading1"/>
        <w:spacing w:after="120" w:before="280"/>
      </w:pPr>
      <w:r>
        <w:t xml:space="preserve">13. Технические причины и рекомендации</w:t>
      </w:r>
    </w:p>
    <w:p>
      <w:pPr>
        <w:pStyle w:val="Heading2"/>
        <w:spacing w:after="100" w:before="220"/>
      </w:pPr>
      <w:r>
        <w:t xml:space="preserve">13.1. Причины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Публикация в открытый контур ссылок, сформированных для внутренней сети (жёстко зашитые приватные IP).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Отсутствие слоя нормализации/reverse-proxy, переписывающего внутренние адреса в публичные (adilet.zan.kz).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Импорт данных из нескольких разнородных систем без унификации и валидации URL — отсюда битые/искажённые ссылки.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Модель «каталог ссылок» вместо «хранилище требований».</w:t>
      </w:r>
    </w:p>
    <w:p>
      <w:pPr>
        <w:pStyle w:val="Heading2"/>
        <w:spacing w:after="100" w:before="220"/>
      </w:pPr>
      <w:r>
        <w:t xml:space="preserve">13.2. Рекомендации (по приоритету)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sz w:val="22"/>
          <w:szCs w:val="22"/>
        </w:rPr>
        <w:t xml:space="preserve">Немедленно</w:t>
      </w:r>
      <w:r>
        <w:rPr>
          <w:sz w:val="22"/>
          <w:szCs w:val="22"/>
        </w:rPr>
        <w:t xml:space="preserve"> заменить все ссылки 10.61.42.188/… и 10.61.41.253/… на публичные adilet.zan.kz/… (устранит ~88 % неработающих ссылок).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Устранить утечку внутренней топологии сети (приватные IP в публичном HTML) — как дефект информационной безопасности.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Внедрить автоматическую валидацию ссылок (link-checker) в конвейер публикации и регулярный мониторинг 4xx/недостижимых узлов.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Исправить генерацию URL в шаблонах (потеря префикса https:// и мусорная конкатенация).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Наполнить обязательные атрибуты: контролирующий орган, ОКЭД/сфера, срок анализа, история и редакции.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Перейти от «каталога ссылок» к хранению структурированного текста требований с прослеживаемостью «требование ↔ норма ↔ проверка».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Предоставить открытый API/выгрузку (машиночитаемые форматы).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b/>
      <w:bCs/>
      <w:color w:val="2E74B5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b80d7e0c97cc9781c434a6650c13038ea34a9e2.png"/><Relationship Id="rId8" Type="http://schemas.openxmlformats.org/officeDocument/2006/relationships/image" Target="media/468e52ff94ddaf208d332dc24ad7b6ada17987e4.png"/><Relationship Id="rId9" Type="http://schemas.openxmlformats.org/officeDocument/2006/relationships/image" Target="media/4a188bfbfc39f2c9d3669841ef2dbe014ff4533b.png"/><Relationship Id="rId10" Type="http://schemas.openxmlformats.org/officeDocument/2006/relationships/image" Target="media/8185a3d1e9b54a8016b14c7691077b72b3ff40bc.png"/><Relationship Id="rId11" Type="http://schemas.openxmlformats.org/officeDocument/2006/relationships/image" Target="media/100312a4c51ac14128a4e8ef7b00248031430369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Экспертное заключение — аудит rsp.gov.kz</dc:title>
  <dc:creator>Независимый аудит</dc:creator>
  <cp:lastModifiedBy>Un-named</cp:lastModifiedBy>
  <cp:revision>1</cp:revision>
  <dcterms:created xsi:type="dcterms:W3CDTF">2026-08-01T14:03:56.470Z</dcterms:created>
  <dcterms:modified xsi:type="dcterms:W3CDTF">2026-08-01T14:03:56.470Z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