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Case Study – CareGroup</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Ty McPhail</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11/3/2024</w:t>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November 2002, CareGroup faced a large-scale failure of its information technology (IT) systems. This left the organization paralyzed for more than three days and caused major disruptions in patient care. The incident was triggered by a researcher who had been experimenting with a new knowledge management application. Unbeknownst to the IT staff, the software began copying massive amounts of data across the network, overwhelming its capacity. This overload caused a significant portion of CareGroup’s IT infrastructure to collapse, leading to a complete standstill in operations that relied on electronic systems. Despite CareGroup's investments in advanced IT solutions and extensive planning for potential crises, the organization found itself reverting to outdated, paper-based processes that had not been in use for over a decade. The repercussions of this failure were serious, with the hospital’s ability to deliver timely patient care jeopardized. Fortunately, patient care continued with minimal interruptions, as clinical staff adapted to using paper forms and manual procedures. However, the event exposed significant vulnerabilities within CareGroup's IT management and operational protocols. To prevent an event like this from happening again, CareGroup must reevaluate its IT infrastructure, enhance system redundancy, and ensure that all personnel are adequately prepared to handle potential crises.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CareGroup's mission centers on providing high-quality, patient-centered care that emphasizes accessibility and integration of healthcare services. The organization strives to enhance patient outcomes by a wide variety and scope of healthcare solutions tailored to the varying needs of the communities it serves in eastern Massachusetts. Substantial evidence points to a positive association between various aspects of patient experience, such as good communication between providers and patients, and several important healthcare processes and outcomes. These processes and outcomes include patient adherence to medical advice, better clinical outcomes, improved patient safety practices, and lower utilization of unnecessary healthcare services (What Is Patient Experience). This mission is indicative of CareGroup's commitment to delivering personalized and effective medical care, which is important in maintaining its reputation as a leading healthcare provider.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CareGroup employs a hybrid competitive strategy, that combines elements of differentiation and cost leadership. This strategy allows CareGroup to distinguish itself from competitors by not only focusing on the quality of patient care but also maintaining operational efficiencies across its hospitals, keeping costs down and quality of care high. As a society, we're living longer and demanding better and more personalized healthcare support (Singh). CareGroup aims to deliver value through superior healthcare services while also managing costs effectively to ensure sustainability.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threat of new entrants into the healthcare market is relatively low due to high barriers to entry. Large capital investments required for infrastructure, regulatory compliance, and the establishment of trust within local communities are a major factor in these barriers. Existing competition within the healthcare sector is intense, particularly from large healthcare systems and specialized providers that often have extensive resources and patient bases. CareGroup must manage the influence of suppliers, especially when it comes to buying special medical equipment and medications. This means that the suppliers have some power in negotiations, which can affect prices and availability of these important items. Patients wield considerable power due to the availability of alternative healthcare options. CareGroup must continuously maintain high service standards and competitive pricing to retain customer loyalty.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CareGroup has an organizational structure that is designed like a matrix, which combines both functional areas and divisional units. This setup helps the organization make decisions quickly while also allowing experts in different fields to focus on their specialties. Each hospital within CareGroup has its own management team, giving them the freedom to operate independently. However, they must still follow CareGroup's overall mission and goals. This balance allows each hospital to have autonomy while ensuring that the entire organization works together to improve patient care and run efficiently.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CareGroup engages with several key stakeholder groups that play a vital role in its operations and success.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Patients are the foremost stakeholders, as their health and trust are critical to CareGroup’s reputation and operational success. They expect high-quality care, transparent communication, and protection of their personal health information. The 2002 network failure significantly impacted patient trust, necessitating a comprehensive response to restore confidence. Customers who have had their sensitive information compromised may feel betrayed and vulnerable, leading to a rapid erosion of trust in the affected company (Taylor).</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stakeholder is CareGroup's employees. These individuals encompass a variety of roles, including healthcare providers, administrative staff, IT professionals, and support staff. This group is essential for day-to-day operations and delivering excellent patient service. Employees expect a supportive work environment, clear communication regarding changes in policies or procedures, fair compensation, and opportunities for professional growth and advancement.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funding, CareGroup would not be able to operate and provide quality care. Investors and shareholders maintain an interest in CareGroup’s financial health, focusing on profitability, stock performance, and long-term growth. Security breaches or operational failures raise concerns about the company’s reputation and potential impacts on revenue, making effective risk management a priority.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CareGroup relies on a vast network of suppliers to provide the products and services essential for its operations. Suppliers are critical stakeholders, as their success is linked to a strong partnership with CareGroup. Timely payments and effective communication regarding demand and supply are key expectations from this group.</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other large organizations, the communities in which CareGroup operates are significant stakeholders as well. They benefit from employment opportunities, economic development, and community health services. In return, these communities expect CareGroup to be socially responsible, engage in local initiatives, and maintain ethical practices.</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Alternatives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its IT infrastructure and mitigate the risk of future outages, CareGroup could consider several strategic alternatives. One of the most impactful steps CareGroup could take is to upgrade its network systems with modern technologies, including implementing AI monitoring tools and more comprehensive cybersecurity measures. These solutions would enhance real-time threat detection capabilities and enable swift responses to potential breaches, thereby protecting sensitive patient data. Patients would be the primary beneficiaries of improved cybersecurity measures, as their personal and health information would be better protected from cyber threats. The primary stakeholders, employees, would experience reduced anxiety regarding data breaches, allowing them to focus on delivering high-quality care without the burden of cybersecurity concerns.</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next option would be for CareGroup to form a dedicated cybersecurity task force that includes members from various departments (IT, clinical, administrative) can create a multidisciplinary approach to security. This team would be responsible for continuously monitoring the security landscape, staying updated on the latest threats, and implementing best practices across the organization.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formation of this task force would enhance collaboration among different departments, creating a shared sense of responsibility for cybersecurity. Employees would feel empowered and involved in security initiatives, fostering a culture of vigilance and teamwork. As staff become more educated and proactive in identifying and addressing cybersecurity threats, patients benefit from a safer healthcare environment</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final alternative would be for CareGroup to partner with specialized cybersecurity firms or industry organizations. Such collaborations would provide access to expert knowledge, allowing CareGroup to benefit from the latest insights into emerging threats and industry best practices. Joint training sessions led by cybersecurity professionals would educate staff on recognizing cyber threats and implementing safe online behaviors, fostering a culture of security awareness throughout the organization.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education fosters a more security-conscious culture within CareGroup, enabling employees to play a role in protecting sensitive information. By demonstrating a proactive approach to cybersecurity through partnerships, CareGroup could enhance its reputation and credibility in the market.</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Halamka's experiences highlight not only the complexities of maintaining an IT infrastructure but also the factors that play a crucial role in cybersecurity. One of the most glaring lessons is the importance of fostering a culture of security awareness among all employees. Halamka emphasizes the need for ongoing training and education, which cannot be overstated. Employees are often the first line of defense against cyber threats, and their understanding of best practices in cybersecurity is crucial. By investing in comprehensive training programs, organizations can empower their staff to recognize potential threats, understand proper procedures, and respond effectively in the event of an incident.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Halamka’s insights highlight the necessity of having robust communication and crisis management protocols in place. Effective communication during a crisis can significantly mitigate the impact of an incident, ensuring that all stakeholders are informed and aligned in their response. CareGroup’s experience reveals that a well-prepared organization not only needs advanced technologies but also the ability to communicate clearly and efficiently during emergencies. While Halamka's 10 lessons provide a solid foundation for understanding the challenges of IT management within healthcare, expanding the learnings to include communication, education, crisis planning, and risk assessment can offer a more comprehensive framework for improvement.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dedicated cybersecurity task force at CareGroup would provide a comprehensive and well-rounded approach to enhancing the organization’s security and reliability. This task force would include members from various departments—such as IT, clinical staff, and administrative personnel—ensuring that a diverse range of perspectives and expertise informs their strategies and decisions.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responsibilities of this team would be to continuously monitor the evolving cybersecurity landscape, staying updated on the latest threats and vulnerabilities relevant to healthcare. By fostering collaboration among different departments, the task force can implement best practices tailored to CareGroup’s unique operational environment, improving communication and coordination in security efforts. This team would be proactive in developing and refining incident response plans, conducting regular training sessions, and establishing clear protocols for reporting and addressing security concerns.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approach not only strengthens CareGroup's defenses against potential cyber threats but also cultivates a culture of security awareness among all employees, ultimately protecting patient data and maintaining the trust of the communities it serves.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form a dedicated cybersecurity task force for CareGroup instead of pursuing partnerships with specialized firms or simply upgrading IT infrastructure was more practical. While external partnerships can offer valuable expertise, they may not fully address CareGroup's specific needs.</w:t>
      </w:r>
      <w:r w:rsidDel="00000000" w:rsidR="00000000" w:rsidRPr="00000000">
        <w:rPr>
          <w:rFonts w:ascii="Arial" w:cs="Arial" w:eastAsia="Arial" w:hAnsi="Arial"/>
          <w:color w:val="222222"/>
          <w:sz w:val="27"/>
          <w:szCs w:val="27"/>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partnership between a temporary worker and a business can often feel insecure, as it lacks the thorough onboarding process involved in full-time employment (The Cultural Challenge of Embedding Contractors Within Your Organization). Relying on outside resources can inhibit the development of a strong internal culture of security awareness. A dedicated task force allows for a personalized approach that aligns with the organization’s goals. Upgrading IT infrastructure and implementing advanced technologies, such as AI-driven monitoring, is important but insufficient without human oversight. Technology alone cannot catch every threat, and employees are essential in recognizing and responding to potential issues.</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CareGroup's experience with the network outage serves as a reminder of the importance of robust IT structures in healthcare organizations. The incident highlighted vulnerabilities in their existing IT infrastructure and the need for a more proactive approach to managing cybersecurity risks. By choosing to form a dedicated cybersecurity task force, CareGroup can create a comprehensive strategy that not only addresses immediate threats but also fosters a culture of security awareness among its staff. As healthcare continues to evolve in the digital age, investing in strong cybersecurity measures will be essential for CareGroup to thrive and deliver exceptional patient care safely and effectively.</w:t>
      </w:r>
    </w:p>
    <w:p w:rsidR="00000000" w:rsidDel="00000000" w:rsidP="00000000" w:rsidRDefault="00000000" w:rsidRPr="00000000" w14:paraId="00000033">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References</w:t>
      </w:r>
    </w:p>
    <w:p w:rsidR="00000000" w:rsidDel="00000000" w:rsidP="00000000" w:rsidRDefault="00000000" w:rsidRPr="00000000" w14:paraId="00000035">
      <w:pPr>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Cultural Challenge of Embedding Contractors within Your Organisation.” </w:t>
      </w:r>
      <w:r w:rsidDel="00000000" w:rsidR="00000000" w:rsidRPr="00000000">
        <w:rPr>
          <w:rFonts w:ascii="Times New Roman" w:cs="Times New Roman" w:eastAsia="Times New Roman" w:hAnsi="Times New Roman"/>
          <w:i w:val="1"/>
          <w:color w:val="262626"/>
          <w:sz w:val="24"/>
          <w:szCs w:val="24"/>
          <w:rtl w:val="0"/>
        </w:rPr>
        <w:t xml:space="preserve">The Oxford Group</w:t>
      </w:r>
      <w:r w:rsidDel="00000000" w:rsidR="00000000" w:rsidRPr="00000000">
        <w:rPr>
          <w:rFonts w:ascii="Times New Roman" w:cs="Times New Roman" w:eastAsia="Times New Roman" w:hAnsi="Times New Roman"/>
          <w:color w:val="262626"/>
          <w:sz w:val="24"/>
          <w:szCs w:val="24"/>
          <w:rtl w:val="0"/>
        </w:rPr>
        <w:t xml:space="preserve">, 30 Aug. 2023, www.oxford-group.com/insights/cultural-challenge-embedding-contractors-within-your-organisation/. Accessed 03 Nov. 2024. </w:t>
      </w:r>
    </w:p>
    <w:p w:rsidR="00000000" w:rsidDel="00000000" w:rsidP="00000000" w:rsidRDefault="00000000" w:rsidRPr="00000000" w14:paraId="00000036">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Singh, Ranjan. “Why Healthcare Market Complexity Is a Reason to Innovate.” </w:t>
      </w:r>
      <w:r w:rsidDel="00000000" w:rsidR="00000000" w:rsidRPr="00000000">
        <w:rPr>
          <w:rFonts w:ascii="Times New Roman" w:cs="Times New Roman" w:eastAsia="Times New Roman" w:hAnsi="Times New Roman"/>
          <w:i w:val="1"/>
          <w:color w:val="262626"/>
          <w:sz w:val="24"/>
          <w:szCs w:val="24"/>
          <w:rtl w:val="0"/>
        </w:rPr>
        <w:t xml:space="preserve">Forbes</w:t>
      </w:r>
      <w:r w:rsidDel="00000000" w:rsidR="00000000" w:rsidRPr="00000000">
        <w:rPr>
          <w:rFonts w:ascii="Times New Roman" w:cs="Times New Roman" w:eastAsia="Times New Roman" w:hAnsi="Times New Roman"/>
          <w:color w:val="262626"/>
          <w:sz w:val="24"/>
          <w:szCs w:val="24"/>
          <w:rtl w:val="0"/>
        </w:rPr>
        <w:t xml:space="preserve">, Forbes Magazine, 12 Aug. 2024, www.forbes.com/councils/forbestechcouncil/2021/09/27/why-healthcare-market-complexity-is-a-reason-to-innovate-not-a-reason-not-to/. Accessed 03 Nov. 2024. </w:t>
      </w:r>
    </w:p>
    <w:p w:rsidR="00000000" w:rsidDel="00000000" w:rsidP="00000000" w:rsidRDefault="00000000" w:rsidRPr="00000000" w14:paraId="00000038">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Taylor, Russell. “Explained: The Real Impacts of Data Breaches for Businesses.” </w:t>
      </w:r>
      <w:r w:rsidDel="00000000" w:rsidR="00000000" w:rsidRPr="00000000">
        <w:rPr>
          <w:rFonts w:ascii="Times New Roman" w:cs="Times New Roman" w:eastAsia="Times New Roman" w:hAnsi="Times New Roman"/>
          <w:i w:val="1"/>
          <w:color w:val="262626"/>
          <w:sz w:val="24"/>
          <w:szCs w:val="24"/>
          <w:rtl w:val="0"/>
        </w:rPr>
        <w:t xml:space="preserve">ThreatAdvice</w:t>
      </w:r>
      <w:r w:rsidDel="00000000" w:rsidR="00000000" w:rsidRPr="00000000">
        <w:rPr>
          <w:rFonts w:ascii="Times New Roman" w:cs="Times New Roman" w:eastAsia="Times New Roman" w:hAnsi="Times New Roman"/>
          <w:color w:val="262626"/>
          <w:sz w:val="24"/>
          <w:szCs w:val="24"/>
          <w:rtl w:val="0"/>
        </w:rPr>
        <w:t xml:space="preserve">, 22 May 2023, www.threatadvice.com/blog/explained-the-real-impacts-of-data-breaches-for-businesses#:~:text=Customers%20who%20have%20had%20their%20sensitive%20information%20compromised,can%20contribute%20to%20significant%20revenue%20losses%20over%20time. Accessed 03 Nov. 2024. </w:t>
      </w:r>
    </w:p>
    <w:p w:rsidR="00000000" w:rsidDel="00000000" w:rsidP="00000000" w:rsidRDefault="00000000" w:rsidRPr="00000000" w14:paraId="0000003A">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What Is Patient Experience? | Agency for Healthcare Research and Quality</w:t>
      </w:r>
      <w:r w:rsidDel="00000000" w:rsidR="00000000" w:rsidRPr="00000000">
        <w:rPr>
          <w:rFonts w:ascii="Times New Roman" w:cs="Times New Roman" w:eastAsia="Times New Roman" w:hAnsi="Times New Roman"/>
          <w:color w:val="262626"/>
          <w:sz w:val="24"/>
          <w:szCs w:val="24"/>
          <w:rtl w:val="0"/>
        </w:rPr>
        <w:t xml:space="preserve">, www.ahrq.gov/cahps/about-cahps/patient-experience/index.html. Accessed 04 Nov. 2024. </w:t>
      </w:r>
    </w:p>
    <w:p w:rsidR="00000000" w:rsidDel="00000000" w:rsidP="00000000" w:rsidRDefault="00000000" w:rsidRPr="00000000" w14:paraId="0000003C">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41">
      <w:pPr>
        <w:jc w:val="center"/>
        <w:rPr>
          <w:sz w:val="48"/>
          <w:szCs w:val="48"/>
        </w:rPr>
      </w:pPr>
      <w:r w:rsidDel="00000000" w:rsidR="00000000" w:rsidRPr="00000000">
        <w:rPr>
          <w:rtl w:val="0"/>
        </w:rPr>
      </w:r>
    </w:p>
    <w:p w:rsidR="00000000" w:rsidDel="00000000" w:rsidP="00000000" w:rsidRDefault="00000000" w:rsidRPr="00000000" w14:paraId="00000042">
      <w:pPr>
        <w:jc w:val="center"/>
        <w:rPr>
          <w:sz w:val="48"/>
          <w:szCs w:val="48"/>
        </w:rPr>
      </w:pPr>
      <w:r w:rsidDel="00000000" w:rsidR="00000000" w:rsidRPr="00000000">
        <w:rPr>
          <w:rtl w:val="0"/>
        </w:rPr>
      </w:r>
    </w:p>
    <w:p w:rsidR="00000000" w:rsidDel="00000000" w:rsidP="00000000" w:rsidRDefault="00000000" w:rsidRPr="00000000" w14:paraId="00000043">
      <w:pPr>
        <w:jc w:val="center"/>
        <w:rPr>
          <w:sz w:val="48"/>
          <w:szCs w:val="48"/>
        </w:rPr>
      </w:pPr>
      <w:r w:rsidDel="00000000" w:rsidR="00000000" w:rsidRPr="00000000">
        <w:rPr>
          <w:rtl w:val="0"/>
        </w:rPr>
      </w:r>
    </w:p>
    <w:p w:rsidR="00000000" w:rsidDel="00000000" w:rsidP="00000000" w:rsidRDefault="00000000" w:rsidRPr="00000000" w14:paraId="00000044">
      <w:pPr>
        <w:jc w:val="center"/>
        <w:rPr>
          <w:sz w:val="48"/>
          <w:szCs w:val="48"/>
        </w:rPr>
      </w:pPr>
      <w:r w:rsidDel="00000000" w:rsidR="00000000" w:rsidRPr="00000000">
        <w:rPr>
          <w:rtl w:val="0"/>
        </w:rPr>
      </w:r>
    </w:p>
    <w:p w:rsidR="00000000" w:rsidDel="00000000" w:rsidP="00000000" w:rsidRDefault="00000000" w:rsidRPr="00000000" w14:paraId="00000045">
      <w:pPr>
        <w:jc w:val="center"/>
        <w:rPr>
          <w:sz w:val="48"/>
          <w:szCs w:val="48"/>
        </w:rPr>
      </w:pPr>
      <w:r w:rsidDel="00000000" w:rsidR="00000000" w:rsidRPr="00000000">
        <w:rPr>
          <w:rtl w:val="0"/>
        </w:rPr>
      </w:r>
    </w:p>
    <w:p w:rsidR="00000000" w:rsidDel="00000000" w:rsidP="00000000" w:rsidRDefault="00000000" w:rsidRPr="00000000" w14:paraId="00000046">
      <w:pPr>
        <w:jc w:val="center"/>
        <w:rPr>
          <w:sz w:val="48"/>
          <w:szCs w:val="48"/>
        </w:rPr>
      </w:pPr>
      <w:r w:rsidDel="00000000" w:rsidR="00000000" w:rsidRPr="00000000">
        <w:rPr>
          <w:rtl w:val="0"/>
        </w:rPr>
      </w:r>
    </w:p>
    <w:p w:rsidR="00000000" w:rsidDel="00000000" w:rsidP="00000000" w:rsidRDefault="00000000" w:rsidRPr="00000000" w14:paraId="00000047">
      <w:pPr>
        <w:jc w:val="center"/>
        <w:rPr>
          <w:sz w:val="48"/>
          <w:szCs w:val="48"/>
        </w:rPr>
      </w:pPr>
      <w:r w:rsidDel="00000000" w:rsidR="00000000" w:rsidRPr="00000000">
        <w:rPr>
          <w:rtl w:val="0"/>
        </w:rPr>
      </w:r>
    </w:p>
    <w:p w:rsidR="00000000" w:rsidDel="00000000" w:rsidP="00000000" w:rsidRDefault="00000000" w:rsidRPr="00000000" w14:paraId="00000048">
      <w:pPr>
        <w:jc w:val="center"/>
        <w:rPr>
          <w:sz w:val="48"/>
          <w:szCs w:val="48"/>
        </w:rPr>
      </w:pPr>
      <w:r w:rsidDel="00000000" w:rsidR="00000000" w:rsidRPr="00000000">
        <w:rPr>
          <w:rtl w:val="0"/>
        </w:rPr>
      </w:r>
    </w:p>
    <w:p w:rsidR="00000000" w:rsidDel="00000000" w:rsidP="00000000" w:rsidRDefault="00000000" w:rsidRPr="00000000" w14:paraId="00000049">
      <w:pPr>
        <w:jc w:val="center"/>
        <w:rPr>
          <w:sz w:val="48"/>
          <w:szCs w:val="48"/>
        </w:rPr>
      </w:pPr>
      <w:r w:rsidDel="00000000" w:rsidR="00000000" w:rsidRPr="00000000">
        <w:rPr>
          <w:rtl w:val="0"/>
        </w:rPr>
      </w:r>
    </w:p>
    <w:p w:rsidR="00000000" w:rsidDel="00000000" w:rsidP="00000000" w:rsidRDefault="00000000" w:rsidRPr="00000000" w14:paraId="0000004A">
      <w:pPr>
        <w:jc w:val="center"/>
        <w:rPr>
          <w:sz w:val="48"/>
          <w:szCs w:val="48"/>
        </w:rPr>
      </w:pPr>
      <w:r w:rsidDel="00000000" w:rsidR="00000000" w:rsidRPr="00000000">
        <w:rPr>
          <w:rtl w:val="0"/>
        </w:rPr>
      </w:r>
    </w:p>
    <w:p w:rsidR="00000000" w:rsidDel="00000000" w:rsidP="00000000" w:rsidRDefault="00000000" w:rsidRPr="00000000" w14:paraId="0000004B">
      <w:pPr>
        <w:jc w:val="center"/>
        <w:rPr>
          <w:sz w:val="48"/>
          <w:szCs w:val="48"/>
        </w:rPr>
      </w:pPr>
      <w:r w:rsidDel="00000000" w:rsidR="00000000" w:rsidRPr="00000000">
        <w:rPr>
          <w:rtl w:val="0"/>
        </w:rPr>
      </w:r>
    </w:p>
    <w:p w:rsidR="00000000" w:rsidDel="00000000" w:rsidP="00000000" w:rsidRDefault="00000000" w:rsidRPr="00000000" w14:paraId="0000004C">
      <w:pPr>
        <w:jc w:val="center"/>
        <w:rPr>
          <w:sz w:val="48"/>
          <w:szCs w:val="48"/>
        </w:rPr>
      </w:pPr>
      <w:r w:rsidDel="00000000" w:rsidR="00000000" w:rsidRPr="00000000">
        <w:rPr>
          <w:rtl w:val="0"/>
        </w:rPr>
      </w:r>
    </w:p>
    <w:p w:rsidR="00000000" w:rsidDel="00000000" w:rsidP="00000000" w:rsidRDefault="00000000" w:rsidRPr="00000000" w14:paraId="0000004D">
      <w:pPr>
        <w:jc w:val="center"/>
        <w:rPr>
          <w:sz w:val="48"/>
          <w:szCs w:val="48"/>
        </w:rPr>
      </w:pPr>
      <w:r w:rsidDel="00000000" w:rsidR="00000000" w:rsidRPr="00000000">
        <w:rPr>
          <w:rtl w:val="0"/>
        </w:rPr>
      </w:r>
    </w:p>
    <w:p w:rsidR="00000000" w:rsidDel="00000000" w:rsidP="00000000" w:rsidRDefault="00000000" w:rsidRPr="00000000" w14:paraId="0000004E">
      <w:pPr>
        <w:jc w:val="center"/>
        <w:rPr>
          <w:sz w:val="48"/>
          <w:szCs w:val="48"/>
        </w:rPr>
      </w:pPr>
      <w:r w:rsidDel="00000000" w:rsidR="00000000" w:rsidRPr="00000000">
        <w:rPr>
          <w:rtl w:val="0"/>
        </w:rPr>
      </w:r>
    </w:p>
    <w:p w:rsidR="00000000" w:rsidDel="00000000" w:rsidP="00000000" w:rsidRDefault="00000000" w:rsidRPr="00000000" w14:paraId="0000004F">
      <w:pPr>
        <w:jc w:val="center"/>
        <w:rPr>
          <w:sz w:val="48"/>
          <w:szCs w:val="4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Case Study – CareGroup</w:t>
      <w:tab/>
      <w:tab/>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1EC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C1EC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1C1EC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C1EC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C1EC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C1EC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C1EC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C1EC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C1EC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1EC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C1EC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1C1EC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C1EC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C1EC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C1EC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C1EC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C1EC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C1EC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C1EC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1EC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C1EC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C1EC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C1EC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C1ECC"/>
    <w:rPr>
      <w:i w:val="1"/>
      <w:iCs w:val="1"/>
      <w:color w:val="404040" w:themeColor="text1" w:themeTint="0000BF"/>
    </w:rPr>
  </w:style>
  <w:style w:type="paragraph" w:styleId="ListParagraph">
    <w:name w:val="List Paragraph"/>
    <w:basedOn w:val="Normal"/>
    <w:uiPriority w:val="34"/>
    <w:qFormat w:val="1"/>
    <w:rsid w:val="001C1ECC"/>
    <w:pPr>
      <w:ind w:left="720"/>
      <w:contextualSpacing w:val="1"/>
    </w:pPr>
  </w:style>
  <w:style w:type="character" w:styleId="IntenseEmphasis">
    <w:name w:val="Intense Emphasis"/>
    <w:basedOn w:val="DefaultParagraphFont"/>
    <w:uiPriority w:val="21"/>
    <w:qFormat w:val="1"/>
    <w:rsid w:val="001C1ECC"/>
    <w:rPr>
      <w:i w:val="1"/>
      <w:iCs w:val="1"/>
      <w:color w:val="0f4761" w:themeColor="accent1" w:themeShade="0000BF"/>
    </w:rPr>
  </w:style>
  <w:style w:type="paragraph" w:styleId="IntenseQuote">
    <w:name w:val="Intense Quote"/>
    <w:basedOn w:val="Normal"/>
    <w:next w:val="Normal"/>
    <w:link w:val="IntenseQuoteChar"/>
    <w:uiPriority w:val="30"/>
    <w:qFormat w:val="1"/>
    <w:rsid w:val="001C1EC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C1ECC"/>
    <w:rPr>
      <w:i w:val="1"/>
      <w:iCs w:val="1"/>
      <w:color w:val="0f4761" w:themeColor="accent1" w:themeShade="0000BF"/>
    </w:rPr>
  </w:style>
  <w:style w:type="character" w:styleId="IntenseReference">
    <w:name w:val="Intense Reference"/>
    <w:basedOn w:val="DefaultParagraphFont"/>
    <w:uiPriority w:val="32"/>
    <w:qFormat w:val="1"/>
    <w:rsid w:val="001C1ECC"/>
    <w:rPr>
      <w:b w:val="1"/>
      <w:bCs w:val="1"/>
      <w:smallCaps w:val="1"/>
      <w:color w:val="0f4761" w:themeColor="accent1" w:themeShade="0000BF"/>
      <w:spacing w:val="5"/>
    </w:rPr>
  </w:style>
  <w:style w:type="paragraph" w:styleId="NormalWeb">
    <w:name w:val="Normal (Web)"/>
    <w:basedOn w:val="Normal"/>
    <w:uiPriority w:val="99"/>
    <w:unhideWhenUsed w:val="1"/>
    <w:rsid w:val="009C4265"/>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BodyText">
    <w:name w:val="Body Text"/>
    <w:basedOn w:val="Normal"/>
    <w:link w:val="BodyTextChar"/>
    <w:uiPriority w:val="1"/>
    <w:qFormat w:val="1"/>
    <w:rsid w:val="006B53C2"/>
    <w:pPr>
      <w:widowControl w:val="0"/>
      <w:autoSpaceDE w:val="0"/>
      <w:autoSpaceDN w:val="0"/>
      <w:spacing w:after="0" w:line="240" w:lineRule="auto"/>
    </w:pPr>
    <w:rPr>
      <w:rFonts w:ascii="Palladio Uralic" w:cs="Palladio Uralic" w:eastAsia="Palladio Uralic" w:hAnsi="Palladio Uralic"/>
      <w:kern w:val="0"/>
      <w:sz w:val="20"/>
      <w:szCs w:val="20"/>
    </w:rPr>
  </w:style>
  <w:style w:type="character" w:styleId="BodyTextChar" w:customStyle="1">
    <w:name w:val="Body Text Char"/>
    <w:basedOn w:val="DefaultParagraphFont"/>
    <w:link w:val="BodyText"/>
    <w:uiPriority w:val="1"/>
    <w:rsid w:val="006B53C2"/>
    <w:rPr>
      <w:rFonts w:ascii="Palladio Uralic" w:cs="Palladio Uralic" w:eastAsia="Palladio Uralic" w:hAnsi="Palladio Uralic"/>
      <w:kern w:val="0"/>
      <w:sz w:val="20"/>
      <w:szCs w:val="20"/>
    </w:rPr>
  </w:style>
  <w:style w:type="paragraph" w:styleId="TableParagraph" w:customStyle="1">
    <w:name w:val="Table Paragraph"/>
    <w:basedOn w:val="Normal"/>
    <w:uiPriority w:val="1"/>
    <w:qFormat w:val="1"/>
    <w:rsid w:val="006B53C2"/>
    <w:pPr>
      <w:widowControl w:val="0"/>
      <w:autoSpaceDE w:val="0"/>
      <w:autoSpaceDN w:val="0"/>
      <w:spacing w:after="0" w:before="148" w:line="240" w:lineRule="auto"/>
      <w:jc w:val="right"/>
    </w:pPr>
    <w:rPr>
      <w:rFonts w:ascii="Arial" w:cs="Arial" w:eastAsia="Arial" w:hAnsi="Arial"/>
      <w:kern w:val="0"/>
    </w:rPr>
  </w:style>
  <w:style w:type="paragraph" w:styleId="Header">
    <w:name w:val="header"/>
    <w:basedOn w:val="Normal"/>
    <w:link w:val="HeaderChar"/>
    <w:uiPriority w:val="99"/>
    <w:unhideWhenUsed w:val="1"/>
    <w:rsid w:val="00DD28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285D"/>
  </w:style>
  <w:style w:type="paragraph" w:styleId="Footer">
    <w:name w:val="footer"/>
    <w:basedOn w:val="Normal"/>
    <w:link w:val="FooterChar"/>
    <w:uiPriority w:val="99"/>
    <w:unhideWhenUsed w:val="1"/>
    <w:rsid w:val="00DD28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285D"/>
  </w:style>
  <w:style w:type="character" w:styleId="Hyperlink">
    <w:name w:val="Hyperlink"/>
    <w:basedOn w:val="DefaultParagraphFont"/>
    <w:uiPriority w:val="99"/>
    <w:unhideWhenUsed w:val="1"/>
    <w:rsid w:val="001B52A0"/>
    <w:rPr>
      <w:color w:val="467886" w:themeColor="hyperlink"/>
      <w:u w:val="single"/>
    </w:rPr>
  </w:style>
  <w:style w:type="character" w:styleId="UnresolvedMention">
    <w:name w:val="Unresolved Mention"/>
    <w:basedOn w:val="DefaultParagraphFont"/>
    <w:uiPriority w:val="99"/>
    <w:semiHidden w:val="1"/>
    <w:unhideWhenUsed w:val="1"/>
    <w:rsid w:val="001B52A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VEkj1yiO96vJtWPkSeYe44GoA==">CgMxLjA4AHIhMTNtQTY2LU9qaGg3NF9ITFFhY1dzbkpIa3d5MUNncHVE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2024-09-16T03:32:00Z</dcterms:created>
  <dc:creator>Ty McPhail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0x01010099D841243FA864428CA710D5CCF7CA47</vt:lpwstr>
  </property>
</Properties>
</file>