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p>
      <w:r>
        <w:br w:type="page"/>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resolve any battle.</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to initiate the opponent’s Last Stand.</w:t>
      </w:r>
    </w:p>
    <w:p>
      <w:pPr>
        <w:numPr>
          <w:ilvl w:val="0"/>
          <w:numId w:val="1004"/>
        </w:numPr>
        <w:pStyle w:val="Compact"/>
      </w:pPr>
      <w:r>
        <w:t xml:space="preserve">The defender has Defender’s Advantage and +1.</w:t>
      </w:r>
    </w:p>
    <w:p>
      <w:pPr>
        <w:numPr>
          <w:ilvl w:val="0"/>
          <w:numId w:val="1004"/>
        </w:numPr>
        <w:pStyle w:val="Compact"/>
      </w:pPr>
      <w:r>
        <w:t xml:space="preserve">Win the Last Stand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gauntlet.run</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_rels/footnotes.xml.rels><?xml version="1.0" encoding="UTF-8"?><Relationships xmlns="http://schemas.openxmlformats.org/package/2006/relationships"><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2026-07-21T19:59:42Z</dcterms:created>
  <dcterms:modified xsi:type="dcterms:W3CDTF">2026-07-21T19:59:42Z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