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If movement begins a battle, resolve it immediately; the battle ends that movement and any remaining movement is lost unless an effect explicitly permits further movement.</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the opponent makes a Last Stand.</w:t>
      </w:r>
    </w:p>
    <w:p>
      <w:pPr>
        <w:numPr>
          <w:ilvl w:val="0"/>
          <w:numId w:val="1004"/>
        </w:numPr>
        <w:pStyle w:val="Compact"/>
      </w:pPr>
      <w:r>
        <w:t xml:space="preserve">During this battle, the defender has Defender’s Advantage and +1.</w:t>
      </w:r>
    </w:p>
    <w:p>
      <w:pPr>
        <w:numPr>
          <w:ilvl w:val="0"/>
          <w:numId w:val="1004"/>
        </w:numPr>
        <w:pStyle w:val="Compact"/>
      </w:pPr>
      <w:r>
        <w:t xml:space="preserve">Win the battle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2026-07-24T21:13:17Z</dcterms:created>
  <dcterms:modified xsi:type="dcterms:W3CDTF">2026-07-24T21:13:17Z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