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851A95">
      <w:pPr>
        <w:spacing w:line="480" w:lineRule="auto"/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2BA57E48" w:rsidR="00351969" w:rsidRDefault="00685DC4" w:rsidP="00851A95">
      <w:pPr>
        <w:spacing w:line="480" w:lineRule="auto"/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DA5D5C">
        <w:t xml:space="preserve"> Each constituent protein is treated as a Gaussian chain with </w:t>
      </w:r>
      <m:oMath>
        <m:r>
          <w:rPr>
            <w:rFonts w:ascii="Cambria Math" w:hAnsi="Cambria Math"/>
          </w:rPr>
          <m:t>N</m:t>
        </m:r>
      </m:oMath>
      <w:r w:rsidR="00DA5D5C">
        <w:rPr>
          <w:rFonts w:eastAsiaTheme="minorEastAsia"/>
        </w:rPr>
        <w:t xml:space="preserve"> number of segments with volume </w:t>
      </w:r>
      <m:oMath>
        <m:r>
          <w:rPr>
            <w:rFonts w:ascii="Cambria Math" w:eastAsiaTheme="minorEastAsia" w:hAnsi="Cambria Math"/>
          </w:rPr>
          <m:t>v</m:t>
        </m:r>
      </m:oMath>
      <w:r w:rsidR="00DA5D5C">
        <w:rPr>
          <w:rFonts w:eastAsiaTheme="minorEastAsia"/>
        </w:rPr>
        <w:t xml:space="preserve"> and Kuhn length </w:t>
      </w:r>
      <m:oMath>
        <m:r>
          <w:rPr>
            <w:rFonts w:ascii="Cambria Math" w:eastAsiaTheme="minorEastAsia" w:hAnsi="Cambria Math"/>
          </w:rPr>
          <m:t>b</m:t>
        </m:r>
      </m:oMath>
      <w:r w:rsidR="00DA5D5C">
        <w:rPr>
          <w:rFonts w:eastAsiaTheme="minorEastAsia"/>
        </w:rPr>
        <w:t>.</w:t>
      </w:r>
      <w:r w:rsidR="00B91D99">
        <w:t xml:space="preserve"> After following the standard</w:t>
      </w:r>
      <w:r w:rsidR="00B80F9F">
        <w:t xml:space="preserve"> procedure</w:t>
      </w:r>
      <w:r w:rsidR="00676B6D">
        <w:t xml:space="preserve"> (refs 48—52 Yokokura BM)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525564">
        <w:t xml:space="preserve"> The charge density of each block is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5564">
        <w:rPr>
          <w:rFonts w:eastAsiaTheme="minorEastAsia"/>
        </w:rPr>
        <w:t>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1750006F" w14:textId="536C9382" w:rsidR="00845BBD" w:rsidRDefault="00845BBD" w:rsidP="00851A95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In this work, pure brushes composed of NFL, NFM, NFH, and NFHD2 sidearms were modeled using the same grafting densities as measured experimentally (0.0365 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 0.0278</w:t>
      </w:r>
      <w:r w:rsidRPr="00845BBD">
        <w:rPr>
          <w:rFonts w:eastAsiaTheme="minorEastAsia"/>
        </w:rPr>
        <w:t xml:space="preserve">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0.0301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0.01854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respectively). The bulk pH was taken to be 7.44</w:t>
      </w:r>
      <w:r w:rsidR="00851A95">
        <w:rPr>
          <w:rFonts w:eastAsiaTheme="minorEastAsia"/>
        </w:rPr>
        <w:t xml:space="preserve">. For simplicity, the solvent was chosen </w:t>
      </w:r>
      <w:r w:rsidR="00851A95">
        <w:rPr>
          <w:rFonts w:eastAsiaTheme="minorEastAsia"/>
        </w:rPr>
        <w:lastRenderedPageBreak/>
        <w:t xml:space="preserve">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851A95">
        <w:rPr>
          <w:rFonts w:eastAsiaTheme="minorEastAsia"/>
        </w:rPr>
        <w:t xml:space="preserve">. The temperature was set at </w:t>
      </w:r>
      <m:oMath>
        <m:r>
          <w:rPr>
            <w:rFonts w:ascii="Cambria Math" w:eastAsiaTheme="minorEastAsia" w:hAnsi="Cambria Math"/>
          </w:rPr>
          <m:t xml:space="preserve">293 </m:t>
        </m:r>
      </m:oMath>
      <w:r w:rsidR="00851A95">
        <w:rPr>
          <w:rFonts w:eastAsiaTheme="minorEastAsia"/>
        </w:rPr>
        <w:t>K.</w:t>
      </w:r>
    </w:p>
    <w:p w14:paraId="0487A7AC" w14:textId="77777777" w:rsidR="00F72A50" w:rsidRDefault="00F72A50" w:rsidP="00851A95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851A95">
      <w:pPr>
        <w:spacing w:line="480" w:lineRule="auto"/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851A95">
      <w:pPr>
        <w:spacing w:line="480" w:lineRule="auto"/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851A95">
      <w:pPr>
        <w:spacing w:line="480" w:lineRule="auto"/>
        <w:jc w:val="both"/>
      </w:pPr>
      <w:r>
        <w:rPr>
          <w:i/>
          <w:iCs/>
        </w:rPr>
        <w:t>Pure brush</w:t>
      </w:r>
    </w:p>
    <w:p w14:paraId="5DF92314" w14:textId="3ABE769B" w:rsidR="0013314A" w:rsidRPr="00685DC4" w:rsidRDefault="0013314A" w:rsidP="0013314A">
      <w:pPr>
        <w:spacing w:line="480" w:lineRule="auto"/>
        <w:jc w:val="both"/>
      </w:pPr>
      <w:r>
        <w:t xml:space="preserve">The sequences of NFL, NFM, and NFH were mapped to the multiblock charged macromolecular model, as shown in </w:t>
      </w:r>
      <w:r w:rsidRPr="0013314A">
        <w:rPr>
          <w:color w:val="FF0000"/>
        </w:rPr>
        <w:t xml:space="preserve">Fig. </w:t>
      </w:r>
      <w:proofErr w:type="spellStart"/>
      <w:r w:rsidRPr="0013314A">
        <w:rPr>
          <w:color w:val="FF0000"/>
        </w:rPr>
        <w:t>XX</w:t>
      </w:r>
      <w:r>
        <w:rPr>
          <w:color w:val="FF0000"/>
        </w:rPr>
        <w:t>a</w:t>
      </w:r>
      <w:proofErr w:type="spellEnd"/>
      <w:r>
        <w:rPr>
          <w:color w:val="FF0000"/>
        </w:rPr>
        <w:t>-c</w:t>
      </w:r>
      <w:r>
        <w:t>. In this work, r</w:t>
      </w:r>
      <w:r>
        <w:rPr>
          <w:rFonts w:eastAsiaTheme="minorEastAsia"/>
        </w:rPr>
        <w:t xml:space="preserve">eported relative hydrophobicities (Monera 1995 J Pep Sci) are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>
        <w:rPr>
          <w:rFonts w:eastAsiaTheme="minorEastAsia"/>
        </w:rPr>
        <w:t xml:space="preserve">, chosen for the best fit with experimental data. </w:t>
      </w:r>
      <w:r>
        <w:rPr>
          <w:rFonts w:eastAsiaTheme="minorEastAsia"/>
        </w:rPr>
        <w:t xml:space="preserve">Details on the coarse-grained blocks for each protein can be found in </w:t>
      </w:r>
      <w:r w:rsidRPr="0013314A">
        <w:rPr>
          <w:rFonts w:eastAsiaTheme="minorEastAsia"/>
          <w:color w:val="FF0000"/>
        </w:rPr>
        <w:t>Sec. XX of the SI</w:t>
      </w:r>
      <w:r>
        <w:rPr>
          <w:rFonts w:eastAsiaTheme="minorEastAsia"/>
        </w:rPr>
        <w:t xml:space="preserve">. </w:t>
      </w:r>
    </w:p>
    <w:p w14:paraId="28B76935" w14:textId="39C3A217" w:rsidR="00306C88" w:rsidRDefault="00306C88" w:rsidP="00851A95">
      <w:pPr>
        <w:spacing w:line="480" w:lineRule="auto"/>
        <w:jc w:val="both"/>
      </w:pPr>
    </w:p>
    <w:p w14:paraId="26D9EF03" w14:textId="727FB7B4" w:rsidR="00340CFD" w:rsidRDefault="00340CFD" w:rsidP="00851A95">
      <w:pPr>
        <w:spacing w:line="480" w:lineRule="auto"/>
        <w:jc w:val="both"/>
      </w:pPr>
      <w:r>
        <w:t>SCFT-generated density distributions provide details on the morphology of the NF brushes.</w:t>
      </w:r>
    </w:p>
    <w:p w14:paraId="0B620CFE" w14:textId="09A1ECBE" w:rsidR="00F72A50" w:rsidRPr="00685DC4" w:rsidRDefault="00340CFD" w:rsidP="00851A95">
      <w:pPr>
        <w:spacing w:line="480" w:lineRule="auto"/>
        <w:jc w:val="both"/>
      </w:pPr>
      <w:proofErr w:type="gramStart"/>
      <w:r>
        <w:lastRenderedPageBreak/>
        <w:t>Coarse-graining</w:t>
      </w:r>
      <w:proofErr w:type="gramEnd"/>
      <w:r>
        <w:t xml:space="preserve"> of filaments </w:t>
      </w:r>
      <w:r>
        <w:sym w:font="Wingdings" w:char="F0E0"/>
      </w:r>
      <w:r>
        <w:t xml:space="preserve"> number of blocks, detailed in Tables XX. </w:t>
      </w:r>
    </w:p>
    <w:p w14:paraId="1FD4D661" w14:textId="37695998" w:rsidR="00340CFD" w:rsidRDefault="00340CFD" w:rsidP="00851A95">
      <w:pPr>
        <w:spacing w:line="480" w:lineRule="auto"/>
        <w:jc w:val="both"/>
      </w:pPr>
      <w:r>
        <w:t xml:space="preserve">Height extracted from density distributions by 1e-05 to best approximate AFM probe touching </w:t>
      </w:r>
      <w:proofErr w:type="gramStart"/>
      <w:r>
        <w:t>brush</w:t>
      </w:r>
      <w:proofErr w:type="gramEnd"/>
    </w:p>
    <w:p w14:paraId="7972EE8D" w14:textId="0A428E9E" w:rsidR="00340CFD" w:rsidRDefault="00340CFD" w:rsidP="00851A95">
      <w:pPr>
        <w:spacing w:line="480" w:lineRule="auto"/>
        <w:jc w:val="both"/>
      </w:pPr>
      <w:r>
        <w:t xml:space="preserve">Both NFL and NFM exhibit classical brush morphologies. Due to the few numbers of </w:t>
      </w:r>
      <w:proofErr w:type="spellStart"/>
      <w:r>
        <w:t>phosphorylatable</w:t>
      </w:r>
      <w:proofErr w:type="spellEnd"/>
      <w:r>
        <w:t xml:space="preserve"> sites in both, the morphology is largely unaffected by phosphorylation.</w:t>
      </w:r>
      <w:r w:rsidR="00841785">
        <w:t xml:space="preserve"> The systematic height discrepancies at low ionic strengths can be attributed to electrostatic correlations: whereas the ___ . Additionally, the same coarse-grained b, v values were used for all  proteins in this work. ___. </w:t>
      </w:r>
    </w:p>
    <w:p w14:paraId="10276408" w14:textId="66E6BA78" w:rsidR="00340CFD" w:rsidRDefault="00340CFD" w:rsidP="00851A95">
      <w:pPr>
        <w:spacing w:line="480" w:lineRule="auto"/>
        <w:jc w:val="both"/>
      </w:pPr>
      <w:r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48BF4FF0" w14:textId="6C227CF9" w:rsidR="00340CFD" w:rsidRDefault="00340CFD" w:rsidP="00851A95">
      <w:pPr>
        <w:spacing w:line="480" w:lineRule="auto"/>
        <w:jc w:val="both"/>
      </w:pPr>
      <w:r>
        <w:t xml:space="preserve">The height profile of NFH does not match at intermediate ionic strengths due to the </w:t>
      </w:r>
      <w:proofErr w:type="spellStart"/>
      <w:r>
        <w:t>pKa</w:t>
      </w:r>
      <w:proofErr w:type="spellEnd"/>
      <w:r>
        <w:t xml:space="preserve"> of the phosphate being </w:t>
      </w:r>
      <w:r w:rsidR="00EF2D64">
        <w:t xml:space="preserve">phosphoserine </w:t>
      </w:r>
      <w:r w:rsidR="00144D1E">
        <w:t xml:space="preserve">5.6, </w:t>
      </w:r>
      <w:proofErr w:type="spellStart"/>
      <w:r w:rsidR="00EF2D64">
        <w:t>phosphothreonine</w:t>
      </w:r>
      <w:proofErr w:type="spellEnd"/>
      <w:r w:rsidR="00EF2D64">
        <w:t xml:space="preserve"> </w:t>
      </w:r>
      <w:r w:rsidR="00144D1E">
        <w:t>5.9 (</w:t>
      </w:r>
      <w:r w:rsidR="00EF2D64">
        <w:t xml:space="preserve">Xie 2005 Anal </w:t>
      </w:r>
      <w:proofErr w:type="spellStart"/>
      <w:r w:rsidR="00EF2D64">
        <w:t>Biochem</w:t>
      </w:r>
      <w:proofErr w:type="spellEnd"/>
      <w:r w:rsidR="00144D1E">
        <w:t>)</w:t>
      </w:r>
      <w:r>
        <w:t xml:space="preserve">. As the ionic strength is increased from the salt-free case, the </w:t>
      </w:r>
      <w:r w:rsidR="00675E7D">
        <w:t>salt ions displace the local hydrogen concentration, resulting in a lower charge fraction than used for the quenched case. At high salt concentrations, the screening effect nullifies the overestimation in charge fraction.</w:t>
      </w:r>
    </w:p>
    <w:p w14:paraId="2C6D24E8" w14:textId="43E566D5" w:rsidR="00606D4C" w:rsidRDefault="00606D4C" w:rsidP="00851A95">
      <w:pPr>
        <w:spacing w:line="480" w:lineRule="auto"/>
        <w:jc w:val="both"/>
      </w:pPr>
      <w:r w:rsidRPr="00606D4C"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851A95">
      <w:pPr>
        <w:spacing w:line="480" w:lineRule="auto"/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851A95">
      <w:pPr>
        <w:spacing w:line="480" w:lineRule="auto"/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851A95">
      <w:pPr>
        <w:spacing w:line="480" w:lineRule="auto"/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851A95">
      <w:pPr>
        <w:spacing w:line="480" w:lineRule="auto"/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3314A"/>
    <w:rsid w:val="00144D1E"/>
    <w:rsid w:val="00274E40"/>
    <w:rsid w:val="00306C88"/>
    <w:rsid w:val="00340CFD"/>
    <w:rsid w:val="00351969"/>
    <w:rsid w:val="003B1D6C"/>
    <w:rsid w:val="004655CA"/>
    <w:rsid w:val="00525564"/>
    <w:rsid w:val="00556DD7"/>
    <w:rsid w:val="005930B3"/>
    <w:rsid w:val="005C58B5"/>
    <w:rsid w:val="006011DA"/>
    <w:rsid w:val="00606D4C"/>
    <w:rsid w:val="0067356D"/>
    <w:rsid w:val="00675E7D"/>
    <w:rsid w:val="00676B6D"/>
    <w:rsid w:val="00685DC4"/>
    <w:rsid w:val="00692E94"/>
    <w:rsid w:val="00841785"/>
    <w:rsid w:val="00843CFA"/>
    <w:rsid w:val="00845BBD"/>
    <w:rsid w:val="00851A95"/>
    <w:rsid w:val="00897E24"/>
    <w:rsid w:val="00AF24E9"/>
    <w:rsid w:val="00B80F9F"/>
    <w:rsid w:val="00B91D99"/>
    <w:rsid w:val="00BC74FF"/>
    <w:rsid w:val="00BE1CAC"/>
    <w:rsid w:val="00DA5D5C"/>
    <w:rsid w:val="00DB6A56"/>
    <w:rsid w:val="00EF2D64"/>
    <w:rsid w:val="00F72A50"/>
    <w:rsid w:val="00FA1685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23</cp:revision>
  <dcterms:created xsi:type="dcterms:W3CDTF">2024-01-24T18:07:00Z</dcterms:created>
  <dcterms:modified xsi:type="dcterms:W3CDTF">2024-01-26T22:36:00Z</dcterms:modified>
</cp:coreProperties>
</file>