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5FCA9CC2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D441BC">
        <w:rPr>
          <w:rFonts w:ascii="Times New Roman" w:hAnsi="Times New Roman" w:cs="Times New Roman"/>
        </w:rPr>
        <w:t>polyelectrolyte</w:t>
      </w:r>
      <w:r w:rsidR="003B1D6C" w:rsidRPr="00A67841">
        <w:rPr>
          <w:rFonts w:ascii="Times New Roman" w:hAnsi="Times New Roman" w:cs="Times New Roman"/>
        </w:rPr>
        <w:t xml:space="preserve">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proteins </w:t>
      </w:r>
      <w:r w:rsidR="00D441BC">
        <w:rPr>
          <w:rFonts w:ascii="Times New Roman" w:hAnsi="Times New Roman" w:cs="Times New Roman"/>
        </w:rPr>
        <w:t xml:space="preserve">comprising the brush </w:t>
      </w:r>
      <w:r w:rsidRPr="00A67841">
        <w:rPr>
          <w:rFonts w:ascii="Times New Roman" w:hAnsi="Times New Roman" w:cs="Times New Roman"/>
        </w:rPr>
        <w:t xml:space="preserve">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</w:t>
      </w:r>
      <w:r w:rsidR="00C76E5F">
        <w:rPr>
          <w:rFonts w:ascii="Times New Roman" w:hAnsi="Times New Roman" w:cs="Times New Roman"/>
        </w:rPr>
        <w:t>multi</w:t>
      </w:r>
      <w:r w:rsidR="00BE1CAC" w:rsidRPr="00A67841">
        <w:rPr>
          <w:rFonts w:ascii="Times New Roman" w:hAnsi="Times New Roman" w:cs="Times New Roman"/>
        </w:rPr>
        <w:t xml:space="preserve">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phosphothreonine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05F611C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</w:t>
      </w:r>
      <w:r w:rsidR="00F92287">
        <w:rPr>
          <w:rFonts w:ascii="Times New Roman" w:hAnsi="Times New Roman" w:cs="Times New Roman"/>
        </w:rPr>
        <w:t>s</w:t>
      </w:r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KsP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BF83142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>ensity distributions generated from the theory can help to explain the</w:t>
      </w:r>
      <w:r w:rsidR="00F92287">
        <w:rPr>
          <w:rFonts w:ascii="Times New Roman" w:hAnsi="Times New Roman" w:cs="Times New Roman"/>
        </w:rPr>
        <w:t xml:space="preserve"> role of amino acid sequence on the</w:t>
      </w:r>
      <w:r w:rsidR="00FF1C92" w:rsidRPr="00A67841">
        <w:rPr>
          <w:rFonts w:ascii="Times New Roman" w:hAnsi="Times New Roman" w:cs="Times New Roman"/>
        </w:rPr>
        <w:t xml:space="preserve"> morphological response of the </w:t>
      </w:r>
      <w:r w:rsidR="00F92287">
        <w:rPr>
          <w:rFonts w:ascii="Times New Roman" w:hAnsi="Times New Roman" w:cs="Times New Roman"/>
        </w:rPr>
        <w:t xml:space="preserve">pure </w:t>
      </w:r>
      <w:r w:rsidR="00FF1C92" w:rsidRPr="00A67841">
        <w:rPr>
          <w:rFonts w:ascii="Times New Roman" w:hAnsi="Times New Roman" w:cs="Times New Roman"/>
        </w:rPr>
        <w:t xml:space="preserve">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 </w:t>
      </w:r>
      <w:r w:rsidR="00492280" w:rsidRPr="00A67841">
        <w:rPr>
          <w:rFonts w:ascii="Times New Roman" w:eastAsiaTheme="minorEastAsia" w:hAnsi="Times New Roman" w:cs="Times New Roman"/>
        </w:rPr>
        <w:t xml:space="preserve">neutrally charged </w:t>
      </w:r>
      <w:r w:rsidR="003B01C6">
        <w:rPr>
          <w:rFonts w:ascii="Times New Roman" w:eastAsiaTheme="minorEastAsia" w:hAnsi="Times New Roman" w:cs="Times New Roman"/>
        </w:rPr>
        <w:t>amino acids</w:t>
      </w:r>
      <w:r w:rsidRPr="00A67841">
        <w:rPr>
          <w:rFonts w:ascii="Times New Roman" w:eastAsiaTheme="minorEastAsia" w:hAnsi="Times New Roman" w:cs="Times New Roman"/>
        </w:rPr>
        <w:t xml:space="preserve"> comprising </w:t>
      </w:r>
      <w:r w:rsidR="003B01C6">
        <w:rPr>
          <w:rFonts w:ascii="Times New Roman" w:eastAsiaTheme="minorEastAsia" w:hAnsi="Times New Roman" w:cs="Times New Roman"/>
        </w:rPr>
        <w:t xml:space="preserve">the grafted </w:t>
      </w:r>
      <w:r w:rsidRPr="00A67841">
        <w:rPr>
          <w:rFonts w:ascii="Times New Roman" w:eastAsiaTheme="minorEastAsia" w:hAnsi="Times New Roman" w:cs="Times New Roman"/>
        </w:rPr>
        <w:t>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</w:t>
      </w:r>
      <w:r w:rsidR="003728AE">
        <w:rPr>
          <w:rFonts w:ascii="Times New Roman" w:eastAsiaTheme="minorEastAsia" w:hAnsi="Times New Roman" w:cs="Times New Roman"/>
        </w:rPr>
        <w:t>all</w:t>
      </w:r>
      <w:r w:rsidR="000E3C20" w:rsidRPr="00A67841">
        <w:rPr>
          <w:rFonts w:ascii="Times New Roman" w:eastAsiaTheme="minorEastAsia" w:hAnsi="Times New Roman" w:cs="Times New Roman"/>
        </w:rPr>
        <w:t xml:space="preserve">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</w:t>
      </w:r>
      <w:r w:rsidR="001D11A1">
        <w:rPr>
          <w:rFonts w:ascii="Times New Roman" w:eastAsiaTheme="minorEastAsia" w:hAnsi="Times New Roman" w:cs="Times New Roman"/>
        </w:rPr>
        <w:t xml:space="preserve"> brushes</w:t>
      </w:r>
      <w:r w:rsidR="000E3C20" w:rsidRPr="00A67841">
        <w:rPr>
          <w:rFonts w:ascii="Times New Roman" w:eastAsiaTheme="minorEastAsia" w:hAnsi="Times New Roman" w:cs="Times New Roman"/>
        </w:rPr>
        <w:t xml:space="preserve">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</w:t>
      </w:r>
      <w:r w:rsidR="001D11A1">
        <w:rPr>
          <w:rFonts w:ascii="Times New Roman" w:eastAsiaTheme="minorEastAsia" w:hAnsi="Times New Roman" w:cs="Times New Roman"/>
        </w:rPr>
        <w:t>an outer, more diffuse layer stacked upon an inner, condensed layer. This multilayered morphology is caused by the bimodal charge distribution intrinsic to NFM.</w:t>
      </w:r>
      <w:r w:rsidR="009D0DA7">
        <w:rPr>
          <w:rFonts w:ascii="Times New Roman" w:eastAsiaTheme="minorEastAsia" w:hAnsi="Times New Roman" w:cs="Times New Roman"/>
        </w:rPr>
        <w:t xml:space="preserve">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>As the electrostatic screening is increased,</w:t>
      </w:r>
      <w:r w:rsidR="001D11A1">
        <w:rPr>
          <w:rFonts w:ascii="Times New Roman" w:eastAsiaTheme="minorEastAsia" w:hAnsi="Times New Roman" w:cs="Times New Roman"/>
        </w:rPr>
        <w:t xml:space="preserve"> the outer layer collapses but</w:t>
      </w:r>
      <w:r w:rsidR="003330A3">
        <w:rPr>
          <w:rFonts w:ascii="Times New Roman" w:eastAsiaTheme="minorEastAsia" w:hAnsi="Times New Roman" w:cs="Times New Roman"/>
        </w:rPr>
        <w:t xml:space="preserve">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</w:t>
      </w:r>
      <w:r w:rsidR="00E63992">
        <w:rPr>
          <w:rFonts w:ascii="Times New Roman" w:eastAsiaTheme="minorEastAsia" w:hAnsi="Times New Roman" w:cs="Times New Roman"/>
        </w:rPr>
        <w:t xml:space="preserve"> near-physiological</w:t>
      </w:r>
      <w:r w:rsidR="00227027">
        <w:rPr>
          <w:rFonts w:ascii="Times New Roman" w:eastAsiaTheme="minorEastAsia" w:hAnsi="Times New Roman" w:cs="Times New Roman"/>
        </w:rPr>
        <w:t xml:space="preserve"> ionic strengths,</w:t>
      </w:r>
      <w:r w:rsidR="003330A3">
        <w:rPr>
          <w:rFonts w:ascii="Times New Roman" w:eastAsiaTheme="minorEastAsia" w:hAnsi="Times New Roman" w:cs="Times New Roman"/>
        </w:rPr>
        <w:t xml:space="preserve"> </w:t>
      </w:r>
      <w:r w:rsidR="005F373E">
        <w:rPr>
          <w:rFonts w:ascii="Times New Roman" w:eastAsiaTheme="minorEastAsia" w:hAnsi="Times New Roman" w:cs="Times New Roman"/>
        </w:rPr>
        <w:t xml:space="preserve">e.g. </w:t>
      </w:r>
      <m:oMath>
        <m:r>
          <w:rPr>
            <w:rFonts w:ascii="Cambria Math" w:eastAsiaTheme="minorEastAsia" w:hAnsi="Cambria Math" w:cs="Times New Roman"/>
          </w:rPr>
          <m:t>I=150</m:t>
        </m:r>
      </m:oMath>
      <w:r w:rsidR="003330A3">
        <w:rPr>
          <w:rFonts w:ascii="Times New Roman" w:eastAsiaTheme="minorEastAsia" w:hAnsi="Times New Roman" w:cs="Times New Roman"/>
        </w:rPr>
        <w:t xml:space="preserve">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48952761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</w:t>
      </w:r>
      <w:r w:rsidR="00212D55">
        <w:rPr>
          <w:rFonts w:ascii="Times New Roman" w:hAnsi="Times New Roman" w:cs="Times New Roman"/>
        </w:rPr>
        <w:t>composed</w:t>
      </w:r>
      <w:r w:rsidRPr="00A67841">
        <w:rPr>
          <w:rFonts w:ascii="Times New Roman" w:hAnsi="Times New Roman" w:cs="Times New Roman"/>
        </w:rPr>
        <w:t xml:space="preserve">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>of a block close to the grafting surface (Block 2) causes</w:t>
      </w:r>
      <w:r w:rsidR="004E24DA" w:rsidRPr="00A67841">
        <w:rPr>
          <w:rFonts w:ascii="Times New Roman" w:hAnsi="Times New Roman" w:cs="Times New Roman"/>
        </w:rPr>
        <w:t xml:space="preserve"> </w:t>
      </w:r>
      <w:r w:rsidR="00DC4372">
        <w:rPr>
          <w:rFonts w:ascii="Times New Roman" w:hAnsi="Times New Roman" w:cs="Times New Roman"/>
        </w:rPr>
        <w:t xml:space="preserve">a </w:t>
      </w:r>
      <w:r w:rsidR="004E24DA" w:rsidRPr="00A67841">
        <w:rPr>
          <w:rFonts w:ascii="Times New Roman" w:hAnsi="Times New Roman" w:cs="Times New Roman"/>
        </w:rPr>
        <w:t xml:space="preserve">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</w:t>
      </w:r>
      <w:r w:rsidR="00DC4372">
        <w:rPr>
          <w:rFonts w:ascii="Times New Roman" w:hAnsi="Times New Roman" w:cs="Times New Roman"/>
        </w:rPr>
        <w:t xml:space="preserve">a </w:t>
      </w:r>
      <w:r w:rsidR="004E24DA" w:rsidRPr="00A67841">
        <w:rPr>
          <w:rFonts w:ascii="Times New Roman" w:hAnsi="Times New Roman" w:cs="Times New Roman"/>
        </w:rPr>
        <w:t xml:space="preserve">diffuse outer </w:t>
      </w:r>
      <w:r w:rsidR="004E24DA" w:rsidRPr="00A67841">
        <w:rPr>
          <w:rFonts w:ascii="Times New Roman" w:hAnsi="Times New Roman" w:cs="Times New Roman"/>
        </w:rPr>
        <w:lastRenderedPageBreak/>
        <w:t>layer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>the Scheutsjen-Fleer model</w:t>
      </w:r>
      <w:r w:rsidR="00E17E8C">
        <w:rPr>
          <w:rFonts w:ascii="Times New Roman" w:eastAsiaTheme="minorEastAsia" w:hAnsi="Times New Roman" w:cs="Times New Roman"/>
        </w:rPr>
        <w:t xml:space="preserve"> (Zhulina 2007 Biophys J; Zhulina 2010 Biophys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amino acid sequence</w:t>
      </w:r>
      <w:r w:rsidR="00C8047B">
        <w:rPr>
          <w:rFonts w:ascii="Times New Roman" w:eastAsiaTheme="minorEastAsia" w:hAnsi="Times New Roman" w:cs="Times New Roman"/>
        </w:rPr>
        <w:t xml:space="preserve"> on brush morphology</w:t>
      </w:r>
      <w:r w:rsidR="007335C9">
        <w:rPr>
          <w:rFonts w:ascii="Times New Roman" w:eastAsiaTheme="minorEastAsia" w:hAnsi="Times New Roman" w:cs="Times New Roman"/>
        </w:rPr>
        <w:t>.</w:t>
      </w:r>
      <w:r w:rsidR="002326E2">
        <w:rPr>
          <w:rFonts w:ascii="Times New Roman" w:eastAsiaTheme="minorEastAsia" w:hAnsi="Times New Roman" w:cs="Times New Roman"/>
        </w:rPr>
        <w:t xml:space="preserve"> This leads to a more direct relationship between </w:t>
      </w:r>
      <w:r w:rsidR="00C8047B">
        <w:rPr>
          <w:rFonts w:ascii="Times New Roman" w:eastAsiaTheme="minorEastAsia" w:hAnsi="Times New Roman" w:cs="Times New Roman"/>
        </w:rPr>
        <w:t xml:space="preserve">the intrinsic properties of </w:t>
      </w:r>
      <w:r w:rsidR="002326E2">
        <w:rPr>
          <w:rFonts w:ascii="Times New Roman" w:eastAsiaTheme="minorEastAsia" w:hAnsi="Times New Roman" w:cs="Times New Roman"/>
        </w:rPr>
        <w:t>each constituent sidearm on the overall morphology of the full NF.</w:t>
      </w:r>
    </w:p>
    <w:p w14:paraId="6A49500B" w14:textId="2F9826AB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</w:t>
      </w:r>
      <w:r w:rsidR="00B80A58">
        <w:rPr>
          <w:rFonts w:ascii="Times New Roman" w:hAnsi="Times New Roman" w:cs="Times New Roman"/>
        </w:rPr>
        <w:t xml:space="preserve"> of a uniform dielectric </w:t>
      </w:r>
      <w:r w:rsidR="00A50A90">
        <w:rPr>
          <w:rFonts w:ascii="Times New Roman" w:hAnsi="Times New Roman" w:cs="Times New Roman"/>
        </w:rPr>
        <w:t>environment</w:t>
      </w:r>
      <w:r w:rsidR="00B80A58">
        <w:rPr>
          <w:rFonts w:ascii="Times New Roman" w:hAnsi="Times New Roman" w:cs="Times New Roman"/>
        </w:rPr>
        <w:t xml:space="preserve">, where the image force between the substrate and ions close to the surface have been neglected </w:t>
      </w:r>
      <w:r w:rsidR="00751EAA">
        <w:rPr>
          <w:rFonts w:ascii="Times New Roman" w:hAnsi="Times New Roman" w:cs="Times New Roman"/>
        </w:rPr>
        <w:t>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>in phosphoserine and phosphothreonine, where the pK</w:t>
      </w:r>
      <w:r w:rsidR="00751EAA">
        <w:rPr>
          <w:rFonts w:ascii="Times New Roman" w:hAnsi="Times New Roman" w:cs="Times New Roman"/>
          <w:vertAlign w:val="subscript"/>
        </w:rPr>
        <w:t>a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Biochem)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(Zhulina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>s, eventually approaching the bulk pH.</w:t>
      </w:r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580DA948" w14:textId="6A61BF5E" w:rsidR="00675E7D" w:rsidRPr="00092906" w:rsidRDefault="00675E7D" w:rsidP="00851A95">
      <w:pPr>
        <w:spacing w:line="480" w:lineRule="auto"/>
        <w:jc w:val="both"/>
        <w:rPr>
          <w:rFonts w:ascii="Times New Roman" w:hAnsi="Times New Roman" w:cs="Times New Roman"/>
          <w:vertAlign w:val="subscript"/>
        </w:rPr>
      </w:pPr>
      <w:r w:rsidRPr="00A67841">
        <w:rPr>
          <w:rFonts w:ascii="Times New Roman" w:hAnsi="Times New Roman" w:cs="Times New Roman"/>
        </w:rPr>
        <w:t>Deleti</w:t>
      </w:r>
      <w:r w:rsidR="00092906">
        <w:rPr>
          <w:rFonts w:ascii="Times New Roman" w:hAnsi="Times New Roman" w:cs="Times New Roman"/>
        </w:rPr>
        <w:t>ng</w:t>
      </w:r>
      <w:r w:rsidRPr="00A67841">
        <w:rPr>
          <w:rFonts w:ascii="Times New Roman" w:hAnsi="Times New Roman" w:cs="Times New Roman"/>
        </w:rPr>
        <w:t xml:space="preserve"> </w:t>
      </w:r>
      <w:r w:rsidR="00314F3D">
        <w:rPr>
          <w:rFonts w:ascii="Times New Roman" w:hAnsi="Times New Roman" w:cs="Times New Roman"/>
        </w:rPr>
        <w:t xml:space="preserve">subsegments </w:t>
      </w:r>
      <w:r w:rsidR="00092906">
        <w:rPr>
          <w:rFonts w:ascii="Times New Roman" w:hAnsi="Times New Roman" w:cs="Times New Roman"/>
        </w:rPr>
        <w:t xml:space="preserve">of </w:t>
      </w:r>
      <w:r w:rsidR="00314F3D">
        <w:rPr>
          <w:rFonts w:ascii="Times New Roman" w:hAnsi="Times New Roman" w:cs="Times New Roman"/>
        </w:rPr>
        <w:t>amino acid sequences</w:t>
      </w:r>
      <w:r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is</w:t>
      </w:r>
      <w:r w:rsidRPr="00A67841">
        <w:rPr>
          <w:rFonts w:ascii="Times New Roman" w:hAnsi="Times New Roman" w:cs="Times New Roman"/>
        </w:rPr>
        <w:t xml:space="preserve"> straightforwardly treated by </w:t>
      </w:r>
      <w:r w:rsidR="00314F3D">
        <w:rPr>
          <w:rFonts w:ascii="Times New Roman" w:hAnsi="Times New Roman" w:cs="Times New Roman"/>
        </w:rPr>
        <w:t>the SCFT</w:t>
      </w:r>
      <w:r w:rsidRPr="00A67841">
        <w:rPr>
          <w:rFonts w:ascii="Times New Roman" w:hAnsi="Times New Roman" w:cs="Times New Roman"/>
        </w:rPr>
        <w:t xml:space="preserve">. </w:t>
      </w:r>
      <w:r w:rsidR="00841785" w:rsidRPr="00A67841">
        <w:rPr>
          <w:rFonts w:ascii="Times New Roman" w:hAnsi="Times New Roman" w:cs="Times New Roman"/>
        </w:rPr>
        <w:t xml:space="preserve">As shown by the </w:t>
      </w:r>
      <w:r w:rsidR="00314F3D">
        <w:rPr>
          <w:rFonts w:ascii="Times New Roman" w:hAnsi="Times New Roman" w:cs="Times New Roman"/>
        </w:rPr>
        <w:t>protein</w:t>
      </w:r>
      <w:r w:rsidR="00841785" w:rsidRPr="00A67841">
        <w:rPr>
          <w:rFonts w:ascii="Times New Roman" w:hAnsi="Times New Roman" w:cs="Times New Roman"/>
        </w:rPr>
        <w:t xml:space="preserve"> density </w:t>
      </w:r>
      <w:r w:rsidR="00314F3D">
        <w:rPr>
          <w:rFonts w:ascii="Times New Roman" w:hAnsi="Times New Roman" w:cs="Times New Roman"/>
        </w:rPr>
        <w:t xml:space="preserve">distributions </w:t>
      </w:r>
      <w:r w:rsidR="00841785" w:rsidRPr="00A67841">
        <w:rPr>
          <w:rFonts w:ascii="Times New Roman" w:hAnsi="Times New Roman" w:cs="Times New Roman"/>
        </w:rPr>
        <w:t xml:space="preserve">of NFHD2, the deletion of the </w:t>
      </w:r>
      <w:r w:rsidR="00092906">
        <w:rPr>
          <w:rFonts w:ascii="Times New Roman" w:hAnsi="Times New Roman" w:cs="Times New Roman"/>
        </w:rPr>
        <w:t>negatively charged block</w:t>
      </w:r>
      <w:r w:rsidR="00314F3D">
        <w:rPr>
          <w:rFonts w:ascii="Times New Roman" w:hAnsi="Times New Roman" w:cs="Times New Roman"/>
        </w:rPr>
        <w:t xml:space="preserve"> causes the constituent chains to expand</w:t>
      </w:r>
      <w:r w:rsidR="00092906">
        <w:rPr>
          <w:rFonts w:ascii="Times New Roman" w:hAnsi="Times New Roman" w:cs="Times New Roman"/>
        </w:rPr>
        <w:t xml:space="preserve"> (</w:t>
      </w:r>
      <w:r w:rsidR="00092906" w:rsidRPr="00092906">
        <w:rPr>
          <w:rFonts w:ascii="Times New Roman" w:hAnsi="Times New Roman" w:cs="Times New Roman"/>
          <w:color w:val="FF0000"/>
        </w:rPr>
        <w:t>Fig. XX</w:t>
      </w:r>
      <w:r w:rsidR="00092906">
        <w:rPr>
          <w:rFonts w:ascii="Times New Roman" w:hAnsi="Times New Roman" w:cs="Times New Roman"/>
        </w:rPr>
        <w:t>)</w:t>
      </w:r>
      <w:r w:rsidR="00314F3D">
        <w:rPr>
          <w:rFonts w:ascii="Times New Roman" w:hAnsi="Times New Roman" w:cs="Times New Roman"/>
        </w:rPr>
        <w:t>. While this effect cannot be directly contributed to the change in net charge (</w:t>
      </w:r>
      <m:oMath>
        <m:r>
          <w:rPr>
            <w:rFonts w:ascii="Cambria Math" w:hAnsi="Cambria Math" w:cs="Times New Roman"/>
          </w:rPr>
          <m:t>-9.8e</m:t>
        </m:r>
      </m:oMath>
      <w:r w:rsidR="00314F3D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+9.2e</m:t>
        </m:r>
      </m:oMath>
      <w:r w:rsidR="00314F3D">
        <w:rPr>
          <w:rFonts w:ascii="Times New Roman" w:eastAsiaTheme="minorEastAsia" w:hAnsi="Times New Roman" w:cs="Times New Roman"/>
        </w:rPr>
        <w:t xml:space="preserve"> as a result of the deletion</w:t>
      </w:r>
      <w:r w:rsidR="00314F3D">
        <w:rPr>
          <w:rFonts w:ascii="Times New Roman" w:hAnsi="Times New Roman" w:cs="Times New Roman"/>
        </w:rPr>
        <w:t xml:space="preserve">), the deletion of the constrained, negatively charged </w:t>
      </w:r>
      <w:r w:rsidR="00092906">
        <w:rPr>
          <w:rFonts w:ascii="Times New Roman" w:hAnsi="Times New Roman" w:cs="Times New Roman"/>
        </w:rPr>
        <w:t>subsegment</w:t>
      </w:r>
      <w:r w:rsidR="00314F3D">
        <w:rPr>
          <w:rFonts w:ascii="Times New Roman" w:hAnsi="Times New Roman" w:cs="Times New Roman"/>
        </w:rPr>
        <w:t xml:space="preserve"> eliminates the local attractive interactions</w:t>
      </w:r>
      <w:r w:rsidR="00092906">
        <w:rPr>
          <w:rFonts w:ascii="Times New Roman" w:hAnsi="Times New Roman" w:cs="Times New Roman"/>
        </w:rPr>
        <w:t xml:space="preserve"> between itself and the subsequent, positively charged region comprised of unphosphorylated KsP repeats</w:t>
      </w:r>
      <w:r w:rsidR="00314F3D">
        <w:rPr>
          <w:rFonts w:ascii="Times New Roman" w:hAnsi="Times New Roman" w:cs="Times New Roman"/>
        </w:rPr>
        <w:t>.</w:t>
      </w:r>
      <w:r w:rsidR="00841785"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In phosphorylated NFH</w:t>
      </w:r>
      <w:r w:rsidR="00841785" w:rsidRPr="00A67841">
        <w:rPr>
          <w:rFonts w:ascii="Times New Roman" w:hAnsi="Times New Roman" w:cs="Times New Roman"/>
        </w:rPr>
        <w:t>, the</w:t>
      </w:r>
      <w:r w:rsidR="00092906">
        <w:rPr>
          <w:rFonts w:ascii="Times New Roman" w:hAnsi="Times New Roman" w:cs="Times New Roman"/>
        </w:rPr>
        <w:t xml:space="preserve"> KsP repeats are negatively charged; thus, the deletion of the negatively charged block results in a systematic decrease in brush heights</w:t>
      </w:r>
      <w:r w:rsidR="00841785" w:rsidRPr="00A67841">
        <w:rPr>
          <w:rFonts w:ascii="Times New Roman" w:hAnsi="Times New Roman" w:cs="Times New Roman"/>
        </w:rPr>
        <w:t xml:space="preserve">. </w:t>
      </w:r>
      <w:r w:rsidR="00484E25">
        <w:rPr>
          <w:rFonts w:ascii="Times New Roman" w:hAnsi="Times New Roman" w:cs="Times New Roman"/>
        </w:rPr>
        <w:t xml:space="preserve">As shown in </w:t>
      </w:r>
      <w:r w:rsidR="00484E25" w:rsidRPr="00484E25">
        <w:rPr>
          <w:rFonts w:ascii="Times New Roman" w:hAnsi="Times New Roman" w:cs="Times New Roman"/>
          <w:color w:val="FF0000"/>
        </w:rPr>
        <w:t>Fig. XX</w:t>
      </w:r>
      <w:r w:rsidR="00484E25">
        <w:rPr>
          <w:rFonts w:ascii="Times New Roman" w:hAnsi="Times New Roman" w:cs="Times New Roman"/>
        </w:rPr>
        <w:t xml:space="preserve">, as a result of </w:t>
      </w:r>
      <w:r w:rsidR="00092906">
        <w:rPr>
          <w:rFonts w:ascii="Times New Roman" w:hAnsi="Times New Roman" w:cs="Times New Roman"/>
        </w:rPr>
        <w:t>the reduced intrabrush repulsion, the outer condensed layers formed at intermediate ionic strengths are no longer favorable.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92906"/>
    <w:rsid w:val="000C18A3"/>
    <w:rsid w:val="000E3C20"/>
    <w:rsid w:val="001113B2"/>
    <w:rsid w:val="0013314A"/>
    <w:rsid w:val="00144D1E"/>
    <w:rsid w:val="001A6A58"/>
    <w:rsid w:val="001C4FD0"/>
    <w:rsid w:val="001D11A1"/>
    <w:rsid w:val="00212D55"/>
    <w:rsid w:val="00227027"/>
    <w:rsid w:val="002326E2"/>
    <w:rsid w:val="00274E40"/>
    <w:rsid w:val="00306C88"/>
    <w:rsid w:val="00314F3D"/>
    <w:rsid w:val="003330A3"/>
    <w:rsid w:val="00340CFD"/>
    <w:rsid w:val="00351969"/>
    <w:rsid w:val="003635E4"/>
    <w:rsid w:val="003728AE"/>
    <w:rsid w:val="00390C48"/>
    <w:rsid w:val="003B01C6"/>
    <w:rsid w:val="003B1D6C"/>
    <w:rsid w:val="003F779A"/>
    <w:rsid w:val="0046199F"/>
    <w:rsid w:val="004655CA"/>
    <w:rsid w:val="00484E25"/>
    <w:rsid w:val="00492280"/>
    <w:rsid w:val="004D2A48"/>
    <w:rsid w:val="004E24DA"/>
    <w:rsid w:val="004E7411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5F373E"/>
    <w:rsid w:val="006011DA"/>
    <w:rsid w:val="00606D4C"/>
    <w:rsid w:val="00607762"/>
    <w:rsid w:val="00621173"/>
    <w:rsid w:val="00637D74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674F2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730D7"/>
    <w:rsid w:val="009834F1"/>
    <w:rsid w:val="009A7598"/>
    <w:rsid w:val="009D0DA7"/>
    <w:rsid w:val="009E16F4"/>
    <w:rsid w:val="009F1443"/>
    <w:rsid w:val="00A36767"/>
    <w:rsid w:val="00A50A90"/>
    <w:rsid w:val="00A55E5E"/>
    <w:rsid w:val="00A565E6"/>
    <w:rsid w:val="00A67841"/>
    <w:rsid w:val="00AF24E9"/>
    <w:rsid w:val="00B04C21"/>
    <w:rsid w:val="00B42841"/>
    <w:rsid w:val="00B80A58"/>
    <w:rsid w:val="00B80F9F"/>
    <w:rsid w:val="00B91D99"/>
    <w:rsid w:val="00BA4B94"/>
    <w:rsid w:val="00BC72C7"/>
    <w:rsid w:val="00BC74FF"/>
    <w:rsid w:val="00BD7C0E"/>
    <w:rsid w:val="00BE1CAC"/>
    <w:rsid w:val="00C36C57"/>
    <w:rsid w:val="00C66F53"/>
    <w:rsid w:val="00C76E5F"/>
    <w:rsid w:val="00C8047B"/>
    <w:rsid w:val="00C9319A"/>
    <w:rsid w:val="00CF12BA"/>
    <w:rsid w:val="00D16D9A"/>
    <w:rsid w:val="00D441BC"/>
    <w:rsid w:val="00D65420"/>
    <w:rsid w:val="00D90126"/>
    <w:rsid w:val="00D930BC"/>
    <w:rsid w:val="00DA5D5C"/>
    <w:rsid w:val="00DB6A56"/>
    <w:rsid w:val="00DC4372"/>
    <w:rsid w:val="00E17E8C"/>
    <w:rsid w:val="00E326F3"/>
    <w:rsid w:val="00E63992"/>
    <w:rsid w:val="00E8303E"/>
    <w:rsid w:val="00E90872"/>
    <w:rsid w:val="00EF2D64"/>
    <w:rsid w:val="00F00356"/>
    <w:rsid w:val="00F16FF9"/>
    <w:rsid w:val="00F72A50"/>
    <w:rsid w:val="00F92287"/>
    <w:rsid w:val="00FA1685"/>
    <w:rsid w:val="00FE7E61"/>
    <w:rsid w:val="00FF1C92"/>
    <w:rsid w:val="00FF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6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88</cp:revision>
  <dcterms:created xsi:type="dcterms:W3CDTF">2024-01-24T18:07:00Z</dcterms:created>
  <dcterms:modified xsi:type="dcterms:W3CDTF">2024-01-28T22:03:00Z</dcterms:modified>
</cp:coreProperties>
</file>