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30789CB4" w14:textId="04AB54BD" w:rsidR="00D930BC" w:rsidRPr="00D930BC" w:rsidRDefault="00845BBD" w:rsidP="00D930BC">
      <w:pPr>
        <w:spacing w:line="480" w:lineRule="auto"/>
        <w:jc w:val="both"/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</w:t>
      </w:r>
      <w:r w:rsidR="00D930BC" w:rsidRPr="00D930BC">
        <w:t xml:space="preserve"> </w:t>
      </w:r>
      <w:r w:rsidR="00D930BC">
        <w:t>R</w:t>
      </w:r>
      <w:r w:rsidR="00D930BC">
        <w:rPr>
          <w:rFonts w:eastAsiaTheme="minorEastAsia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D930BC">
        <w:rPr>
          <w:rFonts w:eastAsiaTheme="minorEastAsia"/>
        </w:rPr>
        <w:t xml:space="preserve">, chosen for the best fit with experimental data. Details on the coarse-grained </w:t>
      </w:r>
      <w:r w:rsidR="00D930BC">
        <w:rPr>
          <w:rFonts w:eastAsiaTheme="minorEastAsia"/>
        </w:rPr>
        <w:lastRenderedPageBreak/>
        <w:t xml:space="preserve">blocks for each protein can be found in </w:t>
      </w:r>
      <w:r w:rsidR="00D930BC" w:rsidRPr="0013314A">
        <w:rPr>
          <w:rFonts w:eastAsiaTheme="minorEastAsia"/>
          <w:color w:val="FF0000"/>
        </w:rPr>
        <w:t>Sec. XX of the SI</w:t>
      </w:r>
      <w:r w:rsidR="00D930BC">
        <w:rPr>
          <w:rFonts w:eastAsiaTheme="minorEastAsia"/>
        </w:rPr>
        <w:t xml:space="preserve">. For simplicity, the same Kuhn length </w:t>
      </w:r>
      <m:oMath>
        <m:r>
          <w:rPr>
            <w:rFonts w:ascii="Cambria Math" w:eastAsiaTheme="minorEastAsia" w:hAnsi="Cambria Math"/>
          </w:rPr>
          <m:t xml:space="preserve">b=0.60 </m:t>
        </m:r>
      </m:oMath>
      <w:r w:rsidR="00D930BC">
        <w:rPr>
          <w:rFonts w:eastAsiaTheme="minorEastAsia"/>
        </w:rPr>
        <w:t>nm a</w:t>
      </w:r>
      <w:proofErr w:type="spellStart"/>
      <w:r w:rsidR="00D930BC">
        <w:rPr>
          <w:rFonts w:eastAsiaTheme="minorEastAsia"/>
        </w:rPr>
        <w:t>nd</w:t>
      </w:r>
      <w:proofErr w:type="spellEnd"/>
      <w:r w:rsidR="00D930BC">
        <w:rPr>
          <w:rFonts w:eastAsiaTheme="minorEastAsia"/>
        </w:rPr>
        <w:t xml:space="preserve"> segment volume </w:t>
      </w:r>
      <m:oMath>
        <m:r>
          <w:rPr>
            <w:rFonts w:ascii="Cambria Math" w:eastAsiaTheme="minorEastAsia" w:hAnsi="Cambria Math"/>
          </w:rPr>
          <m:t>ν=0.05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/>
          </w:rPr>
          <m:t>ν=0.15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due to the addition of the bulky phosphate group.</w:t>
      </w:r>
    </w:p>
    <w:p w14:paraId="1750006F" w14:textId="1E2065C2" w:rsidR="00845BBD" w:rsidRDefault="00845BBD" w:rsidP="00851A95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The bulk pH was taken to be 7.44</w:t>
      </w:r>
      <w:r w:rsidR="00851A95">
        <w:rPr>
          <w:rFonts w:eastAsiaTheme="minorEastAsia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5DF92314" w14:textId="3ED6C967" w:rsidR="0013314A" w:rsidRPr="00D930BC" w:rsidRDefault="0013314A" w:rsidP="0013314A">
      <w:pPr>
        <w:spacing w:line="480" w:lineRule="auto"/>
        <w:jc w:val="both"/>
      </w:pPr>
      <w:r>
        <w:t xml:space="preserve">The sequences of NFL, NFM, and NFH were mapped to the multiblock charged macromolecular model, as shown in </w:t>
      </w:r>
      <w:r w:rsidRPr="0013314A">
        <w:rPr>
          <w:color w:val="FF0000"/>
        </w:rPr>
        <w:t xml:space="preserve">Fig. </w:t>
      </w:r>
      <w:proofErr w:type="spellStart"/>
      <w:r w:rsidRPr="0013314A">
        <w:rPr>
          <w:color w:val="FF0000"/>
        </w:rPr>
        <w:t>XX</w:t>
      </w:r>
      <w:r>
        <w:rPr>
          <w:color w:val="FF0000"/>
        </w:rPr>
        <w:t>a</w:t>
      </w:r>
      <w:proofErr w:type="spellEnd"/>
      <w:r>
        <w:rPr>
          <w:color w:val="FF0000"/>
        </w:rPr>
        <w:t>-c</w:t>
      </w:r>
      <w:r>
        <w:t xml:space="preserve">. </w:t>
      </w:r>
    </w:p>
    <w:p w14:paraId="28B76935" w14:textId="39C3A217" w:rsidR="00306C88" w:rsidRDefault="00306C88" w:rsidP="00851A95">
      <w:pPr>
        <w:spacing w:line="480" w:lineRule="auto"/>
        <w:jc w:val="both"/>
      </w:pPr>
    </w:p>
    <w:p w14:paraId="26D9EF03" w14:textId="727FB7B4" w:rsidR="00340CFD" w:rsidRDefault="00340CFD" w:rsidP="00851A95">
      <w:pPr>
        <w:spacing w:line="480" w:lineRule="auto"/>
        <w:jc w:val="both"/>
      </w:pPr>
      <w:r>
        <w:t>SCFT-generated density distributions provide details on the morphology of the NF brushes.</w:t>
      </w:r>
    </w:p>
    <w:p w14:paraId="0B620CFE" w14:textId="09A1ECBE" w:rsidR="00F72A50" w:rsidRPr="00685DC4" w:rsidRDefault="00340CFD" w:rsidP="00851A95">
      <w:pPr>
        <w:spacing w:line="480" w:lineRule="auto"/>
        <w:jc w:val="both"/>
      </w:pPr>
      <w:proofErr w:type="gramStart"/>
      <w:r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</w:p>
    <w:p w14:paraId="1FD4D661" w14:textId="37695998" w:rsidR="00340CFD" w:rsidRDefault="00340CFD" w:rsidP="00851A95">
      <w:pPr>
        <w:spacing w:line="480" w:lineRule="auto"/>
        <w:jc w:val="both"/>
      </w:pPr>
      <w:r>
        <w:lastRenderedPageBreak/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851A95">
      <w:pPr>
        <w:spacing w:line="480" w:lineRule="auto"/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851A95">
      <w:pPr>
        <w:spacing w:line="480" w:lineRule="auto"/>
        <w:jc w:val="both"/>
      </w:pPr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851A95">
      <w:pPr>
        <w:spacing w:line="480" w:lineRule="auto"/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3314A"/>
    <w:rsid w:val="00144D1E"/>
    <w:rsid w:val="00274E40"/>
    <w:rsid w:val="00306C88"/>
    <w:rsid w:val="00340CFD"/>
    <w:rsid w:val="00351969"/>
    <w:rsid w:val="003B1D6C"/>
    <w:rsid w:val="004655CA"/>
    <w:rsid w:val="00525564"/>
    <w:rsid w:val="00556DD7"/>
    <w:rsid w:val="005930B3"/>
    <w:rsid w:val="005C58B5"/>
    <w:rsid w:val="006011DA"/>
    <w:rsid w:val="00606D4C"/>
    <w:rsid w:val="0067356D"/>
    <w:rsid w:val="00675E7D"/>
    <w:rsid w:val="00676B6D"/>
    <w:rsid w:val="00685DC4"/>
    <w:rsid w:val="00692E94"/>
    <w:rsid w:val="00841785"/>
    <w:rsid w:val="00843CFA"/>
    <w:rsid w:val="00845BBD"/>
    <w:rsid w:val="00851A95"/>
    <w:rsid w:val="00897E24"/>
    <w:rsid w:val="00AF24E9"/>
    <w:rsid w:val="00B80F9F"/>
    <w:rsid w:val="00B91D99"/>
    <w:rsid w:val="00BC74FF"/>
    <w:rsid w:val="00BE1CAC"/>
    <w:rsid w:val="00D930BC"/>
    <w:rsid w:val="00DA5D5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24</cp:revision>
  <dcterms:created xsi:type="dcterms:W3CDTF">2024-01-24T18:07:00Z</dcterms:created>
  <dcterms:modified xsi:type="dcterms:W3CDTF">2024-01-26T22:41:00Z</dcterms:modified>
</cp:coreProperties>
</file>