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57E7D47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</w:t>
      </w:r>
      <w:proofErr w:type="gramStart"/>
      <w:r w:rsidR="007A690E" w:rsidRPr="00A67841">
        <w:rPr>
          <w:rFonts w:ascii="Times New Roman" w:hAnsi="Times New Roman" w:cs="Times New Roman"/>
        </w:rPr>
        <w:t>number</w:t>
      </w:r>
      <w:proofErr w:type="gramEnd"/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 xml:space="preserve">remains significant, even at 150 </w:t>
      </w:r>
      <w:proofErr w:type="spellStart"/>
      <w:r w:rsidR="003330A3">
        <w:rPr>
          <w:rFonts w:ascii="Times New Roman" w:eastAsiaTheme="minorEastAsia" w:hAnsi="Times New Roman" w:cs="Times New Roman"/>
        </w:rPr>
        <w:t>mM.</w:t>
      </w:r>
      <w:proofErr w:type="spellEnd"/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2E0FB21" w:rsidR="004E24DA" w:rsidRPr="00A67841" w:rsidRDefault="009E16F4" w:rsidP="000746E3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A67841" w:rsidRPr="00A67841">
        <w:rPr>
          <w:rFonts w:ascii="Times New Roman" w:hAnsi="Times New Roman" w:cs="Times New Roman"/>
        </w:rPr>
        <w:t>The high charge density within phosphorylated NFH brushes</w:t>
      </w:r>
      <w:r w:rsidR="004E24DA" w:rsidRPr="00A67841">
        <w:rPr>
          <w:rFonts w:ascii="Times New Roman" w:hAnsi="Times New Roman" w:cs="Times New Roman"/>
        </w:rPr>
        <w:t xml:space="preserve"> cause</w:t>
      </w:r>
      <w:r w:rsidR="00621173" w:rsidRPr="00A67841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 portion of the brush to be expelled into a diffuse outer 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 xml:space="preserve">. As the electrostatic screening is increased, the </w:t>
      </w:r>
      <w:r w:rsidR="00621173" w:rsidRPr="00A67841">
        <w:rPr>
          <w:rFonts w:ascii="Times New Roman" w:hAnsi="Times New Roman" w:cs="Times New Roman"/>
        </w:rPr>
        <w:t xml:space="preserve">outer layer collapses to form a condensed layer far from the substrate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lastRenderedPageBreak/>
        <w:t>Notably</w:t>
      </w:r>
      <w:r w:rsidR="00B04C21">
        <w:rPr>
          <w:rFonts w:ascii="Times New Roman" w:eastAsiaTheme="minorEastAsia" w:hAnsi="Times New Roman" w:cs="Times New Roman"/>
        </w:rPr>
        <w:t xml:space="preserve">, this morphology is </w:t>
      </w:r>
      <w:r w:rsidR="00E17E8C">
        <w:rPr>
          <w:rFonts w:ascii="Times New Roman" w:eastAsiaTheme="minorEastAsia" w:hAnsi="Times New Roman" w:cs="Times New Roman"/>
        </w:rPr>
        <w:t>also predicted</w:t>
      </w:r>
      <w:r w:rsidR="009834F1">
        <w:rPr>
          <w:rFonts w:ascii="Times New Roman" w:eastAsiaTheme="minorEastAsia" w:hAnsi="Times New Roman" w:cs="Times New Roman"/>
        </w:rPr>
        <w:t xml:space="preserve"> by 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for phosphorylated NFH in brush</w:t>
      </w:r>
      <w:r w:rsidR="009834F1">
        <w:rPr>
          <w:rFonts w:ascii="Times New Roman" w:eastAsiaTheme="minorEastAsia" w:hAnsi="Times New Roman" w:cs="Times New Roman"/>
        </w:rPr>
        <w:t xml:space="preserve">es also </w:t>
      </w:r>
      <w:r w:rsidR="00E17E8C">
        <w:rPr>
          <w:rFonts w:ascii="Times New Roman" w:eastAsiaTheme="minorEastAsia" w:hAnsi="Times New Roman" w:cs="Times New Roman"/>
        </w:rPr>
        <w:t>containing NFL and NFM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B04C21">
        <w:rPr>
          <w:rFonts w:ascii="Times New Roman" w:eastAsiaTheme="minorEastAsia" w:hAnsi="Times New Roman" w:cs="Times New Roman"/>
        </w:rPr>
        <w:t xml:space="preserve">. </w:t>
      </w:r>
    </w:p>
    <w:p w14:paraId="6A49500B" w14:textId="1C90481A" w:rsidR="00F16FF9" w:rsidRPr="00A6784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can be attributed to electrostatic correlations: whereas the ___ . Additionally, the same coarse-grained b, v values were used for all  proteins in this work. ___. </w:t>
      </w:r>
      <w:r w:rsidR="00607762" w:rsidRPr="00A67841">
        <w:rPr>
          <w:rFonts w:ascii="Times New Roman" w:hAnsi="Times New Roman" w:cs="Times New Roman"/>
          <w:i/>
          <w:iCs/>
        </w:rPr>
        <w:t xml:space="preserve">Effect of </w:t>
      </w:r>
      <w:proofErr w:type="spellStart"/>
      <w:r w:rsidR="00607762" w:rsidRPr="00A67841">
        <w:rPr>
          <w:rFonts w:ascii="Times New Roman" w:hAnsi="Times New Roman" w:cs="Times New Roman"/>
          <w:i/>
          <w:iCs/>
        </w:rPr>
        <w:t>pKa</w:t>
      </w:r>
      <w:proofErr w:type="spellEnd"/>
      <w:r w:rsidR="00607762" w:rsidRPr="00A67841">
        <w:rPr>
          <w:rFonts w:ascii="Times New Roman" w:hAnsi="Times New Roman" w:cs="Times New Roman"/>
          <w:i/>
          <w:iCs/>
        </w:rPr>
        <w:t xml:space="preserve"> on ionic strength/alpha? </w:t>
      </w:r>
      <w:r w:rsidR="00F16FF9" w:rsidRPr="00A67841">
        <w:rPr>
          <w:rFonts w:ascii="Times New Roman" w:hAnsi="Times New Roman" w:cs="Times New Roman"/>
        </w:rPr>
        <w:t xml:space="preserve">The height profile of NFH does not match at intermediate ionic strengths due to the </w:t>
      </w:r>
      <w:proofErr w:type="spellStart"/>
      <w:r w:rsidR="00F16FF9" w:rsidRPr="00A67841">
        <w:rPr>
          <w:rFonts w:ascii="Times New Roman" w:hAnsi="Times New Roman" w:cs="Times New Roman"/>
        </w:rPr>
        <w:t>pKa</w:t>
      </w:r>
      <w:proofErr w:type="spellEnd"/>
      <w:r w:rsidR="00F16FF9" w:rsidRPr="00A67841">
        <w:rPr>
          <w:rFonts w:ascii="Times New Roman" w:hAnsi="Times New Roman" w:cs="Times New Roman"/>
        </w:rPr>
        <w:t xml:space="preserve"> of the phosphate being phosphoserine 5.6, </w:t>
      </w:r>
      <w:proofErr w:type="spellStart"/>
      <w:r w:rsidR="00F16FF9" w:rsidRPr="00A67841">
        <w:rPr>
          <w:rFonts w:ascii="Times New Roman" w:hAnsi="Times New Roman" w:cs="Times New Roman"/>
        </w:rPr>
        <w:t>phosphothreonine</w:t>
      </w:r>
      <w:proofErr w:type="spellEnd"/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lastRenderedPageBreak/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C18A3"/>
    <w:rsid w:val="000E3C20"/>
    <w:rsid w:val="001113B2"/>
    <w:rsid w:val="0013314A"/>
    <w:rsid w:val="00144D1E"/>
    <w:rsid w:val="001A6A58"/>
    <w:rsid w:val="00274E40"/>
    <w:rsid w:val="00306C88"/>
    <w:rsid w:val="003330A3"/>
    <w:rsid w:val="00340CFD"/>
    <w:rsid w:val="00351969"/>
    <w:rsid w:val="003635E4"/>
    <w:rsid w:val="003B1D6C"/>
    <w:rsid w:val="003F779A"/>
    <w:rsid w:val="0046199F"/>
    <w:rsid w:val="004655CA"/>
    <w:rsid w:val="00492280"/>
    <w:rsid w:val="004E24DA"/>
    <w:rsid w:val="00501215"/>
    <w:rsid w:val="00525564"/>
    <w:rsid w:val="005529E3"/>
    <w:rsid w:val="00556DD7"/>
    <w:rsid w:val="005930B3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635E4"/>
    <w:rsid w:val="009730D7"/>
    <w:rsid w:val="009834F1"/>
    <w:rsid w:val="009D0DA7"/>
    <w:rsid w:val="009E16F4"/>
    <w:rsid w:val="00A55E5E"/>
    <w:rsid w:val="00A565E6"/>
    <w:rsid w:val="00A67841"/>
    <w:rsid w:val="00AF24E9"/>
    <w:rsid w:val="00B04C21"/>
    <w:rsid w:val="00B80F9F"/>
    <w:rsid w:val="00B91D99"/>
    <w:rsid w:val="00BA4B94"/>
    <w:rsid w:val="00BC72C7"/>
    <w:rsid w:val="00BC74FF"/>
    <w:rsid w:val="00BE1CAC"/>
    <w:rsid w:val="00C66F53"/>
    <w:rsid w:val="00C9319A"/>
    <w:rsid w:val="00D16D9A"/>
    <w:rsid w:val="00D930BC"/>
    <w:rsid w:val="00DA5D5C"/>
    <w:rsid w:val="00DB6A56"/>
    <w:rsid w:val="00E17E8C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6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50</cp:revision>
  <dcterms:created xsi:type="dcterms:W3CDTF">2024-01-24T18:07:00Z</dcterms:created>
  <dcterms:modified xsi:type="dcterms:W3CDTF">2024-01-28T20:45:00Z</dcterms:modified>
</cp:coreProperties>
</file>