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72A43" w14:textId="62631F89" w:rsidR="00685DC4" w:rsidRDefault="00351969" w:rsidP="00AF24E9">
      <w:pPr>
        <w:jc w:val="both"/>
        <w:rPr>
          <w:b/>
          <w:bCs/>
        </w:rPr>
      </w:pPr>
      <w:r>
        <w:rPr>
          <w:b/>
          <w:bCs/>
        </w:rPr>
        <w:t>Self-Consistent Field Theory</w:t>
      </w:r>
    </w:p>
    <w:p w14:paraId="7566780E" w14:textId="2B3DB30A" w:rsidR="00351969" w:rsidRDefault="00685DC4" w:rsidP="00AF24E9">
      <w:pPr>
        <w:jc w:val="both"/>
        <w:rPr>
          <w:rFonts w:eastAsiaTheme="minorEastAsia"/>
        </w:rPr>
      </w:pPr>
      <w:r>
        <w:t>To obtain microscopic information o</w:t>
      </w:r>
      <w:r w:rsidR="00FA1685">
        <w:t>n</w:t>
      </w:r>
      <w:r>
        <w:t xml:space="preserve"> the protein brushe</w:t>
      </w:r>
      <w:r w:rsidR="00FA1685">
        <w:t>s</w:t>
      </w:r>
      <w:r>
        <w:t xml:space="preserve">, a </w:t>
      </w:r>
      <w:r w:rsidR="003B1D6C">
        <w:t xml:space="preserve">polyelectrolyte </w:t>
      </w:r>
      <w:r>
        <w:t>self-consistent field theory</w:t>
      </w:r>
      <w:r w:rsidR="00B91D99">
        <w:t xml:space="preserve"> (SCFT)</w:t>
      </w:r>
      <w:r>
        <w:t xml:space="preserve"> is employed. While</w:t>
      </w:r>
      <w:r w:rsidR="003B1D6C">
        <w:t xml:space="preserve"> the key process is outlined here</w:t>
      </w:r>
      <w:r>
        <w:t xml:space="preserve">, the details </w:t>
      </w:r>
      <w:r w:rsidR="00EF2D64">
        <w:t>have been reported previously</w:t>
      </w:r>
      <w:r w:rsidR="00340CFD">
        <w:t xml:space="preserve"> (Yokokura 2024 Biomacromolecules)</w:t>
      </w:r>
      <w:r>
        <w:t xml:space="preserve">. </w:t>
      </w:r>
      <w:r w:rsidR="003B1D6C">
        <w:t>In a semicanonical ensemble, t</w:t>
      </w:r>
      <w:r>
        <w:t xml:space="preserve">he constituent proteins are modeled as </w:t>
      </w:r>
      <w:r w:rsidR="00B91D99">
        <w:t>multi</w:t>
      </w:r>
      <w:r>
        <w:t xml:space="preserve">block </w:t>
      </w:r>
      <w:r w:rsidR="00B91D99">
        <w:t xml:space="preserve">charged </w:t>
      </w:r>
      <w:r>
        <w:t xml:space="preserve">macromolecules </w:t>
      </w:r>
      <w:r w:rsidR="003B1D6C">
        <w:t>immersed in a monovalent salt solution and grafted upon a non-interacting substrate.</w:t>
      </w:r>
      <w:r w:rsidR="00EF2D64">
        <w:t xml:space="preserve"> </w:t>
      </w:r>
      <w:r w:rsidR="00B80F9F">
        <w:t>The theory</w:t>
      </w:r>
      <w:r w:rsidR="00EF2D64">
        <w:t xml:space="preserve"> conside</w:t>
      </w:r>
      <w:r w:rsidR="00B80F9F">
        <w:t>rs the interplay between</w:t>
      </w:r>
      <w:r w:rsidR="00EF2D64">
        <w:t xml:space="preserve"> intrachain elasticity, short-range hydrophobicity, and electrostatic</w:t>
      </w:r>
      <w:r w:rsidR="00B91D99">
        <w:t xml:space="preserve"> interactions</w:t>
      </w:r>
      <w:r w:rsidR="00B80F9F">
        <w:t>.</w:t>
      </w:r>
      <w:r w:rsidR="00B91D99">
        <w:t xml:space="preserve"> After following the standard</w:t>
      </w:r>
      <w:r w:rsidR="00B80F9F">
        <w:t xml:space="preserve"> procedure</w:t>
      </w:r>
      <w:r w:rsidR="00B91D99">
        <w:t xml:space="preserve"> of decoupling the interacting system and using the mean-field, saddle point approximation</w:t>
      </w:r>
      <w:r w:rsidR="00B80F9F">
        <w:t>,</w:t>
      </w:r>
      <w:r w:rsidR="00EF2D64">
        <w:t xml:space="preserve"> a series of continuous-space, self-consistent field</w:t>
      </w:r>
      <w:r w:rsidR="005930B3">
        <w:t xml:space="preserve"> equations can be used to report the morphology </w:t>
      </w:r>
      <w:r w:rsidR="00B80F9F">
        <w:t xml:space="preserve">of protein brushes with a specified amino acid sequence. Each protein is mapped to the charged block macromolecular model by blocking neighboring residues based on their charges, which are calculated at the bulk pH using the Henderson---Hasselbalch equation. </w:t>
      </w:r>
      <w:r w:rsidR="00DB6A56">
        <w:t>After assuming the protein brush to be homogeneous in the directions parallel to the grafting surface, t</w:t>
      </w:r>
      <w:r w:rsidR="00B80F9F">
        <w:t xml:space="preserve">he generated protein density profiles </w:t>
      </w:r>
      <m:oMath>
        <m:sSub>
          <m:sSubPr>
            <m:ctrlPr>
              <w:rPr>
                <w:rFonts w:ascii="Cambria Math" w:hAnsi="Cambria Math"/>
                <w:i/>
              </w:rPr>
            </m:ctrlPr>
          </m:sSubPr>
          <m:e>
            <m:r>
              <w:rPr>
                <w:rFonts w:ascii="Cambria Math" w:hAnsi="Cambria Math"/>
              </w:rPr>
              <m:t>ϕ</m:t>
            </m:r>
          </m:e>
          <m:sub>
            <m:r>
              <w:rPr>
                <w:rFonts w:ascii="Cambria Math" w:hAnsi="Cambria Math"/>
              </w:rPr>
              <m:t>p</m:t>
            </m:r>
          </m:sub>
        </m:sSub>
        <m:r>
          <w:rPr>
            <w:rFonts w:ascii="Cambria Math" w:hAnsi="Cambria Math"/>
          </w:rPr>
          <m:t>(z)</m:t>
        </m:r>
      </m:oMath>
      <w:r w:rsidR="00B80F9F">
        <w:rPr>
          <w:rFonts w:eastAsiaTheme="minorEastAsia"/>
        </w:rPr>
        <w:t xml:space="preserve"> describe the distribution of </w:t>
      </w:r>
      <w:r w:rsidR="00897E24">
        <w:rPr>
          <w:rFonts w:eastAsiaTheme="minorEastAsia"/>
        </w:rPr>
        <w:t xml:space="preserve">proteins in the direction normal to the substrate. The density distribution of Block </w:t>
      </w:r>
      <m:oMath>
        <m:r>
          <w:rPr>
            <w:rFonts w:ascii="Cambria Math" w:eastAsiaTheme="minorEastAsia" w:hAnsi="Cambria Math"/>
          </w:rPr>
          <m:t>i</m:t>
        </m:r>
      </m:oMath>
      <w:r w:rsidR="00897E24">
        <w:rPr>
          <w:rFonts w:eastAsiaTheme="minorEastAsia"/>
        </w:rPr>
        <w:t xml:space="preserve"> is related to the overall density by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i = 1</m:t>
            </m:r>
          </m:sub>
          <m:sup>
            <m:r>
              <w:rPr>
                <w:rFonts w:ascii="Cambria Math" w:eastAsiaTheme="minorEastAsia" w:hAnsi="Cambria Math"/>
              </w:rPr>
              <m:t>ξ</m:t>
            </m:r>
          </m:sup>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e>
        </m:nary>
        <m:r>
          <w:rPr>
            <w:rFonts w:ascii="Cambria Math" w:eastAsiaTheme="minorEastAsia" w:hAnsi="Cambria Math"/>
          </w:rPr>
          <m:t>(z)</m:t>
        </m:r>
      </m:oMath>
      <w:r w:rsidR="00897E24">
        <w:rPr>
          <w:rFonts w:eastAsiaTheme="minorEastAsia"/>
        </w:rPr>
        <w:t xml:space="preserve"> for </w:t>
      </w:r>
      <m:oMath>
        <m:r>
          <w:rPr>
            <w:rFonts w:ascii="Cambria Math" w:eastAsiaTheme="minorEastAsia" w:hAnsi="Cambria Math"/>
          </w:rPr>
          <m:t>ξ</m:t>
        </m:r>
      </m:oMath>
      <w:r w:rsidR="00897E24">
        <w:rPr>
          <w:rFonts w:eastAsiaTheme="minorEastAsia"/>
        </w:rPr>
        <w:t xml:space="preserve"> number of total blocks. </w:t>
      </w:r>
      <w:r w:rsidR="00AF24E9">
        <w:rPr>
          <w:rFonts w:eastAsiaTheme="minorEastAsia"/>
        </w:rPr>
        <w:t>T</w:t>
      </w:r>
      <w:r w:rsidR="00897E24">
        <w:rPr>
          <w:rFonts w:eastAsiaTheme="minorEastAsia"/>
        </w:rPr>
        <w:t xml:space="preserve">he </w:t>
      </w:r>
      <w:r w:rsidR="00AF24E9">
        <w:rPr>
          <w:rFonts w:eastAsiaTheme="minorEastAsia"/>
        </w:rPr>
        <w:t>hydrophobicities of each block are manifested by the</w:t>
      </w:r>
      <w:r w:rsidR="00F72A50">
        <w:rPr>
          <w:rFonts w:eastAsiaTheme="minorEastAsia"/>
        </w:rPr>
        <w:t>ir</w:t>
      </w:r>
      <w:r w:rsidR="00AF24E9">
        <w:rPr>
          <w:rFonts w:eastAsiaTheme="minorEastAsia"/>
        </w:rPr>
        <w:t xml:space="preserve"> Flory---Huggins parameter </w:t>
      </w:r>
      <m:oMath>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i</m:t>
            </m:r>
          </m:sub>
        </m:sSub>
      </m:oMath>
      <w:r w:rsidR="00AF24E9">
        <w:rPr>
          <w:rFonts w:eastAsiaTheme="minorEastAsia"/>
        </w:rPr>
        <w:t>, which describes the short-range van der Waals interactions between the block</w:t>
      </w:r>
      <w:r w:rsidR="00F72A50">
        <w:rPr>
          <w:rFonts w:eastAsiaTheme="minorEastAsia"/>
        </w:rPr>
        <w:t xml:space="preserve"> </w:t>
      </w:r>
      <w:r w:rsidR="00AF24E9">
        <w:rPr>
          <w:rFonts w:eastAsiaTheme="minorEastAsia"/>
        </w:rPr>
        <w:t xml:space="preserve">and the solvent. </w:t>
      </w:r>
    </w:p>
    <w:p w14:paraId="0487A7AC" w14:textId="77777777" w:rsidR="00F72A50" w:rsidRDefault="00F72A50">
      <w:pPr>
        <w:rPr>
          <w:b/>
          <w:bCs/>
        </w:rPr>
      </w:pPr>
      <w:r>
        <w:rPr>
          <w:b/>
          <w:bCs/>
        </w:rPr>
        <w:br w:type="page"/>
      </w:r>
    </w:p>
    <w:p w14:paraId="2D6D82E0" w14:textId="0DF82A9E" w:rsidR="00685DC4" w:rsidRDefault="00685DC4" w:rsidP="00AF24E9">
      <w:pPr>
        <w:jc w:val="both"/>
        <w:rPr>
          <w:b/>
          <w:bCs/>
        </w:rPr>
      </w:pPr>
      <w:r w:rsidRPr="00685DC4">
        <w:rPr>
          <w:b/>
          <w:bCs/>
        </w:rPr>
        <w:lastRenderedPageBreak/>
        <w:t>Results and Discussion</w:t>
      </w:r>
    </w:p>
    <w:p w14:paraId="07A1CED8" w14:textId="1B5127CC" w:rsidR="00606D4C" w:rsidRPr="00685DC4" w:rsidRDefault="00606D4C" w:rsidP="00AF24E9">
      <w:pPr>
        <w:jc w:val="both"/>
        <w:rPr>
          <w:b/>
          <w:bCs/>
        </w:rPr>
      </w:pPr>
      <w:r w:rsidRPr="00606D4C">
        <w:rPr>
          <w:b/>
          <w:bCs/>
        </w:rPr>
        <w:drawing>
          <wp:inline distT="0" distB="0" distL="0" distR="0" wp14:anchorId="13708B0A" wp14:editId="39C29DC7">
            <wp:extent cx="5943600" cy="4956175"/>
            <wp:effectExtent l="0" t="0" r="0" b="0"/>
            <wp:docPr id="3"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omputer screen&#10;&#10;Description automatically generated"/>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956175"/>
                    </a:xfrm>
                    <a:prstGeom prst="rect">
                      <a:avLst/>
                    </a:prstGeom>
                  </pic:spPr>
                </pic:pic>
              </a:graphicData>
            </a:graphic>
          </wp:inline>
        </w:drawing>
      </w:r>
    </w:p>
    <w:p w14:paraId="4BC81479" w14:textId="24D5EE06" w:rsidR="00685DC4" w:rsidRPr="00685DC4" w:rsidRDefault="00685DC4" w:rsidP="00AF24E9">
      <w:pPr>
        <w:jc w:val="both"/>
      </w:pPr>
      <w:r>
        <w:rPr>
          <w:i/>
          <w:iCs/>
        </w:rPr>
        <w:t>Pure brush</w:t>
      </w:r>
    </w:p>
    <w:p w14:paraId="26D9EF03" w14:textId="0CB520A1" w:rsidR="00340CFD" w:rsidRDefault="00340CFD" w:rsidP="00AF24E9">
      <w:pPr>
        <w:jc w:val="both"/>
      </w:pPr>
      <w:r>
        <w:t>SCFT-generated density distributions provide details on the morphology of the NF brushes.</w:t>
      </w:r>
    </w:p>
    <w:p w14:paraId="0B620CFE" w14:textId="77777777" w:rsidR="00F72A50" w:rsidRPr="00685DC4" w:rsidRDefault="00340CFD" w:rsidP="00F72A50">
      <w:pPr>
        <w:jc w:val="both"/>
      </w:pPr>
      <w:r>
        <w:t xml:space="preserve">Coarse-graining of filaments </w:t>
      </w:r>
      <w:r>
        <w:sym w:font="Wingdings" w:char="F0E0"/>
      </w:r>
      <w:r>
        <w:t xml:space="preserve"> number of blocks, detailed in Tables XX. </w:t>
      </w:r>
      <w:r w:rsidR="00F72A50">
        <w:t>R</w:t>
      </w:r>
      <w:r w:rsidR="00F72A50">
        <w:rPr>
          <w:rFonts w:eastAsiaTheme="minorEastAsia"/>
        </w:rPr>
        <w:t xml:space="preserve">eported relative hydrophobicities (Monera 1995 J Pep Sci) are scaled such that </w:t>
      </w:r>
      <m:oMath>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max</m:t>
            </m:r>
          </m:sub>
        </m:sSub>
        <m:r>
          <w:rPr>
            <w:rFonts w:ascii="Cambria Math" w:eastAsiaTheme="minorEastAsia" w:hAnsi="Cambria Math"/>
          </w:rPr>
          <m:t>=2.25</m:t>
        </m:r>
      </m:oMath>
      <w:r w:rsidR="00F72A50">
        <w:rPr>
          <w:rFonts w:eastAsiaTheme="minorEastAsia"/>
        </w:rPr>
        <w:t xml:space="preserve">, chosen for the best fit with experimental data. </w:t>
      </w:r>
    </w:p>
    <w:p w14:paraId="1FD4D661" w14:textId="37695998" w:rsidR="00340CFD" w:rsidRDefault="00340CFD" w:rsidP="00AF24E9">
      <w:pPr>
        <w:jc w:val="both"/>
      </w:pPr>
      <w:r>
        <w:t>Height extracted from density distributions by 1e-05 to best approximate AFM probe touching brush</w:t>
      </w:r>
    </w:p>
    <w:p w14:paraId="7972EE8D" w14:textId="0A428E9E" w:rsidR="00340CFD" w:rsidRDefault="00340CFD" w:rsidP="00AF24E9">
      <w:pPr>
        <w:jc w:val="both"/>
      </w:pPr>
      <w:r>
        <w:t>Both NFL and NFM exhibit classical brush morphologies. Due to the few numbers of phosphorylatable sites in both, the morphology is largely unaffected by phosphorylation.</w:t>
      </w:r>
      <w:r w:rsidR="00841785">
        <w:t xml:space="preserve"> The systematic height discrepancies at low ionic strengths can be attributed to electrostatic correlations: whereas the ___ . Additionally, the same coarse-grained b, v values were used for all  proteins in this work. ___. </w:t>
      </w:r>
    </w:p>
    <w:p w14:paraId="10276408" w14:textId="66E6BA78" w:rsidR="00340CFD" w:rsidRDefault="00340CFD" w:rsidP="00AF24E9">
      <w:pPr>
        <w:jc w:val="both"/>
      </w:pPr>
      <w:r>
        <w:lastRenderedPageBreak/>
        <w:t xml:space="preserve">NFH is strongly impacted by phosphorylation, where the [X, XX] segment of the protein increases in charge density significantly. This increase caused a portion of the brush to be expelled into a diffuse outer layer at low ionic strengths. As the electrostatic screening is increased, the brush morphology changes such that a condensed layer is formed at __ nm, much like the flower morphologies previously predicted for NFH by SJ-SCF (Zhulina 2007 Biophysical Journal). </w:t>
      </w:r>
      <w:r w:rsidR="00841785">
        <w:t>The density distributions of the comprising blocks indicate __ as the conformation of the constituent proteins.</w:t>
      </w:r>
    </w:p>
    <w:p w14:paraId="48BF4FF0" w14:textId="6C227CF9" w:rsidR="00340CFD" w:rsidRDefault="00340CFD" w:rsidP="00AF24E9">
      <w:pPr>
        <w:jc w:val="both"/>
      </w:pPr>
      <w:r>
        <w:t xml:space="preserve">The height profile of NFH does not match at intermediate ionic strengths due to the pKa of the phosphate being </w:t>
      </w:r>
      <w:r w:rsidR="00EF2D64">
        <w:t xml:space="preserve">phosphoserine </w:t>
      </w:r>
      <w:r w:rsidR="00144D1E">
        <w:t xml:space="preserve">5.6, </w:t>
      </w:r>
      <w:r w:rsidR="00EF2D64">
        <w:t xml:space="preserve">phosphothreonine </w:t>
      </w:r>
      <w:r w:rsidR="00144D1E">
        <w:t>5.9 (</w:t>
      </w:r>
      <w:r w:rsidR="00EF2D64">
        <w:t>Xie 2005 Anal Biochem</w:t>
      </w:r>
      <w:r w:rsidR="00144D1E">
        <w:t>)</w:t>
      </w:r>
      <w:r>
        <w:t xml:space="preserve">. As the ionic strength is increased from the salt-free case, the </w:t>
      </w:r>
      <w:r w:rsidR="00675E7D">
        <w:t>salt ions displace the local hydrogen concentration, resulting in a lower charge fraction than used for the quenched case. At high salt concentrations, the screening effect nullifies the overestimation in charge fraction.</w:t>
      </w:r>
    </w:p>
    <w:p w14:paraId="2C6D24E8" w14:textId="43E566D5" w:rsidR="00606D4C" w:rsidRDefault="00606D4C" w:rsidP="00AF24E9">
      <w:pPr>
        <w:jc w:val="both"/>
      </w:pPr>
      <w:r w:rsidRPr="00606D4C">
        <w:drawing>
          <wp:inline distT="0" distB="0" distL="0" distR="0" wp14:anchorId="52A6C7AE" wp14:editId="7FC0B896">
            <wp:extent cx="5943600" cy="3618865"/>
            <wp:effectExtent l="0" t="0" r="0" b="0"/>
            <wp:docPr id="188128841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88413" name="Picture 2" descr="A screenshot of a computer&#10;&#10;Description automatically generated"/>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618865"/>
                    </a:xfrm>
                    <a:prstGeom prst="rect">
                      <a:avLst/>
                    </a:prstGeom>
                  </pic:spPr>
                </pic:pic>
              </a:graphicData>
            </a:graphic>
          </wp:inline>
        </w:drawing>
      </w:r>
    </w:p>
    <w:p w14:paraId="10668B90" w14:textId="71814D91" w:rsidR="00685DC4" w:rsidRDefault="00685DC4" w:rsidP="00AF24E9">
      <w:pPr>
        <w:jc w:val="both"/>
        <w:rPr>
          <w:i/>
          <w:iCs/>
        </w:rPr>
      </w:pPr>
      <w:r>
        <w:rPr>
          <w:i/>
          <w:iCs/>
        </w:rPr>
        <w:t>NFH Del2</w:t>
      </w:r>
    </w:p>
    <w:p w14:paraId="2FAE4F23" w14:textId="0DB48BB6" w:rsidR="00675E7D" w:rsidRDefault="00675E7D" w:rsidP="00AF24E9">
      <w:pPr>
        <w:jc w:val="both"/>
      </w:pPr>
      <w:r>
        <w:t xml:space="preserve">Deletion of segments is straightforwardly treated by SCFT, providing physical reasoning for the trends measured experimentally. </w:t>
      </w:r>
    </w:p>
    <w:p w14:paraId="580DA948" w14:textId="2803184D" w:rsidR="00675E7D" w:rsidRDefault="00841785" w:rsidP="00AF24E9">
      <w:pPr>
        <w:jc w:val="both"/>
      </w:pPr>
      <w:r>
        <w:t xml:space="preserve">As shown by the polymer density profiles of NFHD2, the deletion of the Block 2 results in an increase in local charge density, providing a local attraction with the positively charged Block 3. In pNFHD2, the deletion of Block 2 results in a systematic decrease in height due to the decrease in local charge density. While the accessed morphologies remain the same as the unmodified pNFH, the decrease in charge density causes the flower morphology to appear at lower ionic strengths. </w:t>
      </w:r>
    </w:p>
    <w:p w14:paraId="6516B0AA" w14:textId="77777777" w:rsidR="00675E7D" w:rsidRPr="00675E7D" w:rsidRDefault="00675E7D" w:rsidP="00AF24E9">
      <w:pPr>
        <w:jc w:val="both"/>
      </w:pPr>
    </w:p>
    <w:sectPr w:rsidR="00675E7D" w:rsidRPr="00675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DC4"/>
    <w:rsid w:val="00144D1E"/>
    <w:rsid w:val="00340CFD"/>
    <w:rsid w:val="00351969"/>
    <w:rsid w:val="003B1D6C"/>
    <w:rsid w:val="004655CA"/>
    <w:rsid w:val="00556DD7"/>
    <w:rsid w:val="005930B3"/>
    <w:rsid w:val="006011DA"/>
    <w:rsid w:val="00606D4C"/>
    <w:rsid w:val="0067356D"/>
    <w:rsid w:val="00675E7D"/>
    <w:rsid w:val="00685DC4"/>
    <w:rsid w:val="00841785"/>
    <w:rsid w:val="00897E24"/>
    <w:rsid w:val="00AF24E9"/>
    <w:rsid w:val="00B80F9F"/>
    <w:rsid w:val="00B91D99"/>
    <w:rsid w:val="00BC74FF"/>
    <w:rsid w:val="00DB6A56"/>
    <w:rsid w:val="00EF2D64"/>
    <w:rsid w:val="00F72A50"/>
    <w:rsid w:val="00FA1685"/>
    <w:rsid w:val="00FE7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A0364"/>
  <w15:chartTrackingRefBased/>
  <w15:docId w15:val="{09D90756-5A2D-4A74-B54F-CA136580B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5D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5D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5D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5D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5D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5D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5D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5D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5D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D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5D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5D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5D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5D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5D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5D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5D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5DC4"/>
    <w:rPr>
      <w:rFonts w:eastAsiaTheme="majorEastAsia" w:cstheme="majorBidi"/>
      <w:color w:val="272727" w:themeColor="text1" w:themeTint="D8"/>
    </w:rPr>
  </w:style>
  <w:style w:type="paragraph" w:styleId="Title">
    <w:name w:val="Title"/>
    <w:basedOn w:val="Normal"/>
    <w:next w:val="Normal"/>
    <w:link w:val="TitleChar"/>
    <w:uiPriority w:val="10"/>
    <w:qFormat/>
    <w:rsid w:val="00685D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5D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5D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5D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5DC4"/>
    <w:pPr>
      <w:spacing w:before="160"/>
      <w:jc w:val="center"/>
    </w:pPr>
    <w:rPr>
      <w:i/>
      <w:iCs/>
      <w:color w:val="404040" w:themeColor="text1" w:themeTint="BF"/>
    </w:rPr>
  </w:style>
  <w:style w:type="character" w:customStyle="1" w:styleId="QuoteChar">
    <w:name w:val="Quote Char"/>
    <w:basedOn w:val="DefaultParagraphFont"/>
    <w:link w:val="Quote"/>
    <w:uiPriority w:val="29"/>
    <w:rsid w:val="00685DC4"/>
    <w:rPr>
      <w:i/>
      <w:iCs/>
      <w:color w:val="404040" w:themeColor="text1" w:themeTint="BF"/>
    </w:rPr>
  </w:style>
  <w:style w:type="paragraph" w:styleId="ListParagraph">
    <w:name w:val="List Paragraph"/>
    <w:basedOn w:val="Normal"/>
    <w:uiPriority w:val="34"/>
    <w:qFormat/>
    <w:rsid w:val="00685DC4"/>
    <w:pPr>
      <w:ind w:left="720"/>
      <w:contextualSpacing/>
    </w:pPr>
  </w:style>
  <w:style w:type="character" w:styleId="IntenseEmphasis">
    <w:name w:val="Intense Emphasis"/>
    <w:basedOn w:val="DefaultParagraphFont"/>
    <w:uiPriority w:val="21"/>
    <w:qFormat/>
    <w:rsid w:val="00685DC4"/>
    <w:rPr>
      <w:i/>
      <w:iCs/>
      <w:color w:val="0F4761" w:themeColor="accent1" w:themeShade="BF"/>
    </w:rPr>
  </w:style>
  <w:style w:type="paragraph" w:styleId="IntenseQuote">
    <w:name w:val="Intense Quote"/>
    <w:basedOn w:val="Normal"/>
    <w:next w:val="Normal"/>
    <w:link w:val="IntenseQuoteChar"/>
    <w:uiPriority w:val="30"/>
    <w:qFormat/>
    <w:rsid w:val="00685D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5DC4"/>
    <w:rPr>
      <w:i/>
      <w:iCs/>
      <w:color w:val="0F4761" w:themeColor="accent1" w:themeShade="BF"/>
    </w:rPr>
  </w:style>
  <w:style w:type="character" w:styleId="IntenseReference">
    <w:name w:val="Intense Reference"/>
    <w:basedOn w:val="DefaultParagraphFont"/>
    <w:uiPriority w:val="32"/>
    <w:qFormat/>
    <w:rsid w:val="00685DC4"/>
    <w:rPr>
      <w:b/>
      <w:bCs/>
      <w:smallCaps/>
      <w:color w:val="0F4761" w:themeColor="accent1" w:themeShade="BF"/>
      <w:spacing w:val="5"/>
    </w:rPr>
  </w:style>
  <w:style w:type="character" w:styleId="PlaceholderText">
    <w:name w:val="Placeholder Text"/>
    <w:basedOn w:val="DefaultParagraphFont"/>
    <w:uiPriority w:val="99"/>
    <w:semiHidden/>
    <w:rsid w:val="00B80F9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3</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Takashi Yokokura</dc:creator>
  <cp:keywords/>
  <dc:description/>
  <cp:lastModifiedBy>Takashi Yokokura</cp:lastModifiedBy>
  <cp:revision>14</cp:revision>
  <dcterms:created xsi:type="dcterms:W3CDTF">2024-01-24T18:07:00Z</dcterms:created>
  <dcterms:modified xsi:type="dcterms:W3CDTF">2024-01-26T22:06:00Z</dcterms:modified>
</cp:coreProperties>
</file>