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48952761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amino acid sequence</w:t>
      </w:r>
      <w:r w:rsidR="00C8047B">
        <w:rPr>
          <w:rFonts w:ascii="Times New Roman" w:eastAsiaTheme="minorEastAsia" w:hAnsi="Times New Roman" w:cs="Times New Roman"/>
        </w:rPr>
        <w:t xml:space="preserve"> on brush morphology</w:t>
      </w:r>
      <w:r w:rsidR="007335C9">
        <w:rPr>
          <w:rFonts w:ascii="Times New Roman" w:eastAsiaTheme="minorEastAsia" w:hAnsi="Times New Roman" w:cs="Times New Roman"/>
        </w:rPr>
        <w:t>.</w:t>
      </w:r>
      <w:r w:rsidR="002326E2">
        <w:rPr>
          <w:rFonts w:ascii="Times New Roman" w:eastAsiaTheme="minorEastAsia" w:hAnsi="Times New Roman" w:cs="Times New Roman"/>
        </w:rPr>
        <w:t xml:space="preserve"> This leads to a more direct relationship between </w:t>
      </w:r>
      <w:r w:rsidR="00C8047B">
        <w:rPr>
          <w:rFonts w:ascii="Times New Roman" w:eastAsiaTheme="minorEastAsia" w:hAnsi="Times New Roman" w:cs="Times New Roman"/>
        </w:rPr>
        <w:t xml:space="preserve">the intrinsic properties of </w:t>
      </w:r>
      <w:r w:rsidR="002326E2">
        <w:rPr>
          <w:rFonts w:ascii="Times New Roman" w:eastAsiaTheme="minorEastAsia" w:hAnsi="Times New Roman" w:cs="Times New Roman"/>
        </w:rPr>
        <w:t>each constituent sidearm on the overall morphology of the full NF.</w:t>
      </w:r>
    </w:p>
    <w:p w14:paraId="6A49500B" w14:textId="6B19AE18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</w:t>
      </w:r>
      <w:r w:rsidR="00B80A58">
        <w:rPr>
          <w:rFonts w:ascii="Times New Roman" w:hAnsi="Times New Roman" w:cs="Times New Roman"/>
        </w:rPr>
        <w:t xml:space="preserve"> of a uniform dielectric </w:t>
      </w:r>
      <w:r w:rsidR="00A50A90">
        <w:rPr>
          <w:rFonts w:ascii="Times New Roman" w:hAnsi="Times New Roman" w:cs="Times New Roman"/>
        </w:rPr>
        <w:t>environment</w:t>
      </w:r>
      <w:r w:rsidR="00B80A58">
        <w:rPr>
          <w:rFonts w:ascii="Times New Roman" w:hAnsi="Times New Roman" w:cs="Times New Roman"/>
        </w:rPr>
        <w:t xml:space="preserve">, where the </w:t>
      </w:r>
      <w:r w:rsidR="00AB6B5F">
        <w:rPr>
          <w:rFonts w:ascii="Times New Roman" w:hAnsi="Times New Roman" w:cs="Times New Roman"/>
        </w:rPr>
        <w:t xml:space="preserve">neglected, </w:t>
      </w:r>
      <w:r w:rsidR="00BF4DC5">
        <w:rPr>
          <w:rFonts w:ascii="Times New Roman" w:hAnsi="Times New Roman" w:cs="Times New Roman"/>
        </w:rPr>
        <w:t xml:space="preserve">repulsive </w:t>
      </w:r>
      <w:r w:rsidR="00B80A58">
        <w:rPr>
          <w:rFonts w:ascii="Times New Roman" w:hAnsi="Times New Roman" w:cs="Times New Roman"/>
        </w:rPr>
        <w:t xml:space="preserve">image force between the substrate and ions close to the surface </w:t>
      </w:r>
      <w:r w:rsidR="00AB6B5F">
        <w:rPr>
          <w:rFonts w:ascii="Times New Roman" w:hAnsi="Times New Roman" w:cs="Times New Roman"/>
        </w:rPr>
        <w:t>could result in higher brush heights</w:t>
      </w:r>
      <w:r w:rsidR="00B80A58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53721E">
        <w:rPr>
          <w:rFonts w:ascii="Times New Roman" w:hAnsi="Times New Roman" w:cs="Times New Roman"/>
        </w:rPr>
        <w:t>attributed to neglecting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</w:t>
      </w:r>
      <w:r w:rsidR="00672817">
        <w:rPr>
          <w:rFonts w:ascii="Times New Roman" w:hAnsi="Times New Roman" w:cs="Times New Roman"/>
        </w:rPr>
        <w:t xml:space="preserve"> and thus lower brush heights</w:t>
      </w:r>
      <w:r w:rsidR="005D6346">
        <w:rPr>
          <w:rFonts w:ascii="Times New Roman" w:hAnsi="Times New Roman" w:cs="Times New Roman"/>
        </w:rPr>
        <w:t>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326E2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3721E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2817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0A90"/>
    <w:rsid w:val="00A55E5E"/>
    <w:rsid w:val="00A565E6"/>
    <w:rsid w:val="00A67841"/>
    <w:rsid w:val="00AB6B5F"/>
    <w:rsid w:val="00AF24E9"/>
    <w:rsid w:val="00B04C21"/>
    <w:rsid w:val="00B42841"/>
    <w:rsid w:val="00B80A58"/>
    <w:rsid w:val="00B80F9F"/>
    <w:rsid w:val="00B91D99"/>
    <w:rsid w:val="00BA4B94"/>
    <w:rsid w:val="00BC72C7"/>
    <w:rsid w:val="00BC74FF"/>
    <w:rsid w:val="00BD7C0E"/>
    <w:rsid w:val="00BE1CAC"/>
    <w:rsid w:val="00BF4DC5"/>
    <w:rsid w:val="00C36C57"/>
    <w:rsid w:val="00C66F53"/>
    <w:rsid w:val="00C76E5F"/>
    <w:rsid w:val="00C8047B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91</cp:revision>
  <dcterms:created xsi:type="dcterms:W3CDTF">2024-01-24T18:07:00Z</dcterms:created>
  <dcterms:modified xsi:type="dcterms:W3CDTF">2024-01-28T22:06:00Z</dcterms:modified>
</cp:coreProperties>
</file>