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851A95">
      <w:pPr>
        <w:spacing w:line="480" w:lineRule="auto"/>
        <w:jc w:val="both"/>
        <w:rPr>
          <w:b/>
          <w:bCs/>
        </w:rPr>
      </w:pPr>
      <w:r>
        <w:rPr>
          <w:b/>
          <w:bCs/>
        </w:rPr>
        <w:t>Self-Consistent Field Theory</w:t>
      </w:r>
    </w:p>
    <w:p w14:paraId="7566780E" w14:textId="2BA57E48" w:rsidR="00351969" w:rsidRDefault="00685DC4" w:rsidP="00851A95">
      <w:pPr>
        <w:spacing w:line="480" w:lineRule="auto"/>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DA5D5C">
        <w:t xml:space="preserve"> Each constituent protein is treated as a Gaussian chain with </w:t>
      </w:r>
      <m:oMath>
        <m:r>
          <w:rPr>
            <w:rFonts w:ascii="Cambria Math" w:hAnsi="Cambria Math"/>
          </w:rPr>
          <m:t>N</m:t>
        </m:r>
      </m:oMath>
      <w:r w:rsidR="00DA5D5C">
        <w:rPr>
          <w:rFonts w:eastAsiaTheme="minorEastAsia"/>
        </w:rPr>
        <w:t xml:space="preserve"> number of segments with volume </w:t>
      </w:r>
      <m:oMath>
        <m:r>
          <w:rPr>
            <w:rFonts w:ascii="Cambria Math" w:eastAsiaTheme="minorEastAsia" w:hAnsi="Cambria Math"/>
          </w:rPr>
          <m:t>v</m:t>
        </m:r>
      </m:oMath>
      <w:r w:rsidR="00DA5D5C">
        <w:rPr>
          <w:rFonts w:eastAsiaTheme="minorEastAsia"/>
        </w:rPr>
        <w:t xml:space="preserve"> and Kuhn length </w:t>
      </w:r>
      <m:oMath>
        <m:r>
          <w:rPr>
            <w:rFonts w:ascii="Cambria Math" w:eastAsiaTheme="minorEastAsia" w:hAnsi="Cambria Math"/>
          </w:rPr>
          <m:t>b</m:t>
        </m:r>
      </m:oMath>
      <w:r w:rsidR="00DA5D5C">
        <w:rPr>
          <w:rFonts w:eastAsiaTheme="minorEastAsia"/>
        </w:rPr>
        <w:t>.</w:t>
      </w:r>
      <w:r w:rsidR="00B91D99">
        <w:t xml:space="preserve"> After following the standard</w:t>
      </w:r>
      <w:r w:rsidR="00B80F9F">
        <w:t xml:space="preserve"> procedure</w:t>
      </w:r>
      <w:r w:rsidR="00676B6D">
        <w:t xml:space="preserve"> (refs 48—52 Yokokura BM)</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w:t>
      </w:r>
      <w:r w:rsidR="00DB6A56">
        <w:t>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proteins in the direction normal to the substrate.</w:t>
      </w:r>
      <w:r w:rsidR="00BE1CAC" w:rsidRPr="00BE1CAC">
        <w:t xml:space="preserve"> </w:t>
      </w:r>
      <w:r w:rsidR="00BE1CAC">
        <w:t>Amino acid sequences</w:t>
      </w:r>
      <w:r w:rsidR="00BE1CAC">
        <w:t xml:space="preserve"> can be mapped to the charged block macromolecular model by blocking neighboring residues </w:t>
      </w:r>
      <w:r w:rsidR="00BE1CAC">
        <w:t>with</w:t>
      </w:r>
      <w:r w:rsidR="00BE1CAC">
        <w:t xml:space="preserve"> similar charges, which are calculated at the bulk pH using the Henderson---Hasselbalch equation.</w:t>
      </w:r>
      <w:r w:rsidR="00525564">
        <w:t xml:space="preserve"> The charge density of each block is denoted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25564">
        <w:rPr>
          <w:rFonts w:eastAsiaTheme="minorEastAsia"/>
        </w:rPr>
        <w:t>.</w:t>
      </w:r>
      <w:r w:rsidR="00897E24">
        <w:rPr>
          <w:rFonts w:eastAsiaTheme="minorEastAsia"/>
        </w:rPr>
        <w:t xml:space="preserv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1750006F" w14:textId="7397C353" w:rsidR="00845BBD" w:rsidRDefault="00845BBD" w:rsidP="00F16FF9">
      <w:pPr>
        <w:spacing w:line="480" w:lineRule="auto"/>
        <w:ind w:firstLine="720"/>
        <w:jc w:val="both"/>
        <w:rPr>
          <w:rFonts w:eastAsiaTheme="minorEastAsia"/>
        </w:rPr>
      </w:pPr>
      <w:r>
        <w:rPr>
          <w:rFonts w:eastAsiaTheme="minorEastAsia"/>
        </w:rPr>
        <w:t>In this work, pure brushes composed of NFL, NFM, NFH, and NFHD2 sidearms were modeled using the same grafting densities as measured experimentally (0.0365 nm</w:t>
      </w:r>
      <w:r>
        <w:rPr>
          <w:rFonts w:eastAsiaTheme="minorEastAsia"/>
          <w:vertAlign w:val="superscript"/>
        </w:rPr>
        <w:t>−2</w:t>
      </w:r>
      <w:r>
        <w:rPr>
          <w:rFonts w:eastAsiaTheme="minorEastAsia"/>
        </w:rPr>
        <w:t>, 0.0278</w:t>
      </w:r>
      <w:r w:rsidRPr="00845BBD">
        <w:rPr>
          <w:rFonts w:eastAsiaTheme="minorEastAsia"/>
        </w:rPr>
        <w:t xml:space="preserve">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0.0301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and 0.01854 </w:t>
      </w:r>
      <w:r>
        <w:rPr>
          <w:rFonts w:eastAsiaTheme="minorEastAsia"/>
        </w:rPr>
        <w:t>nm</w:t>
      </w:r>
      <w:r>
        <w:rPr>
          <w:rFonts w:eastAsiaTheme="minorEastAsia"/>
          <w:vertAlign w:val="superscript"/>
        </w:rPr>
        <w:t>−2</w:t>
      </w:r>
      <w:r>
        <w:rPr>
          <w:rFonts w:eastAsiaTheme="minorEastAsia"/>
        </w:rPr>
        <w:t>,</w:t>
      </w:r>
      <w:r>
        <w:rPr>
          <w:rFonts w:eastAsiaTheme="minorEastAsia"/>
        </w:rPr>
        <w:t xml:space="preserve"> respectively).</w:t>
      </w:r>
      <w:r w:rsidR="00D930BC" w:rsidRPr="00D930BC">
        <w:t xml:space="preserve"> </w:t>
      </w:r>
      <w:r w:rsidR="00D930BC">
        <w:t>R</w:t>
      </w:r>
      <w:r w:rsidR="00D930BC">
        <w:rPr>
          <w:rFonts w:eastAsiaTheme="minorEastAsia"/>
        </w:rPr>
        <w:t xml:space="preserve">eported relative hydrophobicities (Monera 1995 J Pep Sci) were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6A3EB1">
        <w:rPr>
          <w:rFonts w:eastAsiaTheme="minorEastAsia"/>
        </w:rPr>
        <w:t xml:space="preserve"> and the charges of phosphoserine and phosphothreonine were </w:t>
      </w:r>
      <w:r w:rsidR="006A3EB1">
        <w:rPr>
          <w:rFonts w:eastAsiaTheme="minorEastAsia"/>
        </w:rPr>
        <w:lastRenderedPageBreak/>
        <w:t xml:space="preserve">set at </w:t>
      </w:r>
      <m:oMath>
        <m:r>
          <w:rPr>
            <w:rFonts w:ascii="Cambria Math" w:eastAsiaTheme="minorEastAsia" w:hAnsi="Cambria Math"/>
          </w:rPr>
          <m:t>-1.0e</m:t>
        </m:r>
      </m:oMath>
      <w:r w:rsidR="006A3EB1">
        <w:rPr>
          <w:rFonts w:eastAsiaTheme="minorEastAsia"/>
        </w:rPr>
        <w:t>, both</w:t>
      </w:r>
      <w:r w:rsidR="00D930BC">
        <w:rPr>
          <w:rFonts w:eastAsiaTheme="minorEastAsia"/>
        </w:rPr>
        <w:t xml:space="preserve"> chosen for the best fit with experimental data. For simplicity, the same Kuhn length </w:t>
      </w:r>
      <m:oMath>
        <m:r>
          <w:rPr>
            <w:rFonts w:ascii="Cambria Math" w:eastAsiaTheme="minorEastAsia" w:hAnsi="Cambria Math"/>
          </w:rPr>
          <m:t xml:space="preserve">b=0.60 </m:t>
        </m:r>
      </m:oMath>
      <w:r w:rsidR="00D930BC">
        <w:rPr>
          <w:rFonts w:eastAsiaTheme="minorEastAsia"/>
        </w:rPr>
        <w:t xml:space="preserve">nm and segment volume </w:t>
      </w:r>
      <m:oMath>
        <m:r>
          <w:rPr>
            <w:rFonts w:ascii="Cambria Math" w:eastAsiaTheme="minorEastAsia" w:hAnsi="Cambria Math"/>
          </w:rPr>
          <m:t>ν=0.05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were chosen based on best fit with experimental data for all proteins except phosphorylated NFH, where </w:t>
      </w:r>
      <m:oMath>
        <m:r>
          <w:rPr>
            <w:rFonts w:ascii="Cambria Math" w:eastAsiaTheme="minorEastAsia" w:hAnsi="Cambria Math"/>
          </w:rPr>
          <m:t>ν=0.15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t>
      </w:r>
      <w:r w:rsidR="005529E3">
        <w:rPr>
          <w:rFonts w:eastAsiaTheme="minorEastAsia"/>
        </w:rPr>
        <w:t>to account for the</w:t>
      </w:r>
      <w:r w:rsidR="00D930BC">
        <w:rPr>
          <w:rFonts w:eastAsiaTheme="minorEastAsia"/>
        </w:rPr>
        <w:t xml:space="preserve"> addition of the bulky phosphate group</w:t>
      </w:r>
      <w:r w:rsidR="001113B2">
        <w:rPr>
          <w:rFonts w:eastAsiaTheme="minorEastAsia"/>
        </w:rPr>
        <w:t>s</w:t>
      </w:r>
      <w:r w:rsidR="00D930BC">
        <w:rPr>
          <w:rFonts w:eastAsiaTheme="minorEastAsia"/>
        </w:rPr>
        <w:t>.</w:t>
      </w:r>
      <w:r>
        <w:rPr>
          <w:rFonts w:eastAsiaTheme="minorEastAsia"/>
        </w:rPr>
        <w:t xml:space="preserve"> The bulk pH was taken to be 7.44</w:t>
      </w:r>
      <w:r w:rsidR="00851A95">
        <w:rPr>
          <w:rFonts w:eastAsiaTheme="minorEastAsia"/>
        </w:rPr>
        <w:t xml:space="preserve">. For simplicity, the solvent was chosen to be pure water and the relative dielectric constant of the system was assumed uniform at the value of water,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r>
          <w:rPr>
            <w:rFonts w:ascii="Cambria Math" w:eastAsiaTheme="minorEastAsia" w:hAnsi="Cambria Math"/>
          </w:rPr>
          <m:t>=80</m:t>
        </m:r>
      </m:oMath>
      <w:r w:rsidR="00851A95">
        <w:rPr>
          <w:rFonts w:eastAsiaTheme="minorEastAsia"/>
        </w:rPr>
        <w:t xml:space="preserve">. The temperature was set at </w:t>
      </w:r>
      <m:oMath>
        <m:r>
          <w:rPr>
            <w:rFonts w:ascii="Cambria Math" w:eastAsiaTheme="minorEastAsia" w:hAnsi="Cambria Math"/>
          </w:rPr>
          <m:t xml:space="preserve">293 </m:t>
        </m:r>
      </m:oMath>
      <w:r w:rsidR="00851A95">
        <w:rPr>
          <w:rFonts w:eastAsiaTheme="minorEastAsia"/>
        </w:rPr>
        <w:t>K.</w:t>
      </w:r>
    </w:p>
    <w:p w14:paraId="0487A7AC" w14:textId="77777777" w:rsidR="00F72A50" w:rsidRDefault="00F72A50" w:rsidP="00851A95">
      <w:pPr>
        <w:spacing w:line="480" w:lineRule="auto"/>
        <w:rPr>
          <w:b/>
          <w:bCs/>
        </w:rPr>
      </w:pPr>
      <w:r>
        <w:rPr>
          <w:b/>
          <w:bCs/>
        </w:rPr>
        <w:br w:type="page"/>
      </w:r>
    </w:p>
    <w:p w14:paraId="2D6D82E0" w14:textId="0DF82A9E" w:rsidR="00685DC4" w:rsidRDefault="00685DC4" w:rsidP="00851A95">
      <w:pPr>
        <w:spacing w:line="480" w:lineRule="auto"/>
        <w:jc w:val="both"/>
        <w:rPr>
          <w:b/>
          <w:bCs/>
        </w:rPr>
      </w:pPr>
      <w:r w:rsidRPr="00685DC4">
        <w:rPr>
          <w:b/>
          <w:bCs/>
        </w:rPr>
        <w:lastRenderedPageBreak/>
        <w:t>Results and Discussion</w:t>
      </w:r>
    </w:p>
    <w:p w14:paraId="07A1CED8" w14:textId="1B5127CC" w:rsidR="00606D4C" w:rsidRPr="00685DC4" w:rsidRDefault="00606D4C" w:rsidP="00851A95">
      <w:pPr>
        <w:spacing w:line="480" w:lineRule="auto"/>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851A95">
      <w:pPr>
        <w:spacing w:line="480" w:lineRule="auto"/>
        <w:jc w:val="both"/>
      </w:pPr>
      <w:r>
        <w:rPr>
          <w:i/>
          <w:iCs/>
        </w:rPr>
        <w:t>Pure brush</w:t>
      </w:r>
    </w:p>
    <w:p w14:paraId="240987F1" w14:textId="132EF8C7" w:rsidR="00E90872" w:rsidRDefault="00C9319A" w:rsidP="0013314A">
      <w:pPr>
        <w:spacing w:line="480" w:lineRule="auto"/>
        <w:jc w:val="both"/>
        <w:rPr>
          <w:rFonts w:eastAsiaTheme="minorEastAsia"/>
        </w:rPr>
      </w:pPr>
      <w:r>
        <w:t>A</w:t>
      </w:r>
      <w:r>
        <w:t xml:space="preserve">s shown in </w:t>
      </w:r>
      <w:r w:rsidRPr="0013314A">
        <w:rPr>
          <w:color w:val="FF0000"/>
        </w:rPr>
        <w:t>Fig</w:t>
      </w:r>
      <w:r w:rsidR="001A6A58">
        <w:rPr>
          <w:color w:val="FF0000"/>
        </w:rPr>
        <w:t>s</w:t>
      </w:r>
      <w:r w:rsidRPr="0013314A">
        <w:rPr>
          <w:color w:val="FF0000"/>
        </w:rPr>
        <w:t>. XX</w:t>
      </w:r>
      <w:r>
        <w:rPr>
          <w:color w:val="FF0000"/>
        </w:rPr>
        <w:t>,</w:t>
      </w:r>
      <w:r>
        <w:t xml:space="preserve"> </w:t>
      </w:r>
      <w:r w:rsidR="0013314A">
        <w:t>NFL, NFM, and NFH were mapped to the multiblock charged macromolecular model</w:t>
      </w:r>
      <w:r w:rsidR="007A690E">
        <w:t>, yielding distributions of 4, 9, and 7 number of blocks, respectively</w:t>
      </w:r>
      <w:r w:rsidR="0013314A">
        <w:t>.</w:t>
      </w:r>
      <w:r w:rsidR="007A690E">
        <w:t xml:space="preserve"> Due to the few number of modifiable sites in NFL and NFM, the blocks are similar after phosphorylation.</w:t>
      </w:r>
      <w:r w:rsidR="0013314A">
        <w:t xml:space="preserve"> </w:t>
      </w:r>
      <w:r w:rsidR="007A690E">
        <w:t xml:space="preserve">On the other hand, the number of blocks needed to model phosphorylated NFH decreases to 4, where Block 3 contains most of the KsP sites. </w:t>
      </w:r>
      <w:r w:rsidR="005529E3">
        <w:rPr>
          <w:rFonts w:eastAsiaTheme="minorEastAsia"/>
        </w:rPr>
        <w:t xml:space="preserve">Details on the coarse-grained blocks for each protein can be found in </w:t>
      </w:r>
      <w:r w:rsidR="005529E3" w:rsidRPr="0013314A">
        <w:rPr>
          <w:rFonts w:eastAsiaTheme="minorEastAsia"/>
          <w:color w:val="FF0000"/>
        </w:rPr>
        <w:t>Sec. XX of the SI</w:t>
      </w:r>
      <w:r w:rsidR="005529E3">
        <w:rPr>
          <w:rFonts w:eastAsiaTheme="minorEastAsia"/>
        </w:rPr>
        <w:t>.</w:t>
      </w:r>
      <w:r>
        <w:rPr>
          <w:rFonts w:eastAsiaTheme="minorEastAsia"/>
        </w:rPr>
        <w:t xml:space="preserve"> To best approximate those experimentally measured by AFM, brush heights </w:t>
      </w:r>
      <m:oMath>
        <m:r>
          <w:rPr>
            <w:rFonts w:ascii="Cambria Math" w:eastAsiaTheme="minorEastAsia" w:hAnsi="Cambria Math"/>
          </w:rPr>
          <m:t>H</m:t>
        </m:r>
      </m:oMath>
      <w:r>
        <w:rPr>
          <w:rFonts w:eastAsiaTheme="minorEastAsia"/>
        </w:rPr>
        <w:t xml:space="preserve"> were </w:t>
      </w:r>
      <w:r>
        <w:rPr>
          <w:rFonts w:eastAsiaTheme="minorEastAsia"/>
        </w:rPr>
        <w:lastRenderedPageBreak/>
        <w:t xml:space="preserve">extracted from the density distributions by choosing a threshold density of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r w:rsidR="00FF1C92">
        <w:rPr>
          <w:rFonts w:eastAsiaTheme="minorEastAsia"/>
        </w:rPr>
        <w:t xml:space="preserve">Overall, the heights predicted by the SCFT are in good agreement with those measured experimentally, as shown in the insets of </w:t>
      </w:r>
      <w:r w:rsidR="00FF1C92" w:rsidRPr="001A6A58">
        <w:rPr>
          <w:rFonts w:eastAsiaTheme="minorEastAsia"/>
          <w:color w:val="FF0000"/>
        </w:rPr>
        <w:t>Figs. XX</w:t>
      </w:r>
      <w:r w:rsidR="00FF1C92">
        <w:rPr>
          <w:rFonts w:eastAsiaTheme="minorEastAsia"/>
        </w:rPr>
        <w:t xml:space="preserve">.  </w:t>
      </w:r>
    </w:p>
    <w:p w14:paraId="66AEF4E7" w14:textId="60F62472" w:rsidR="004E24DA" w:rsidRDefault="00A565E6" w:rsidP="004E24DA">
      <w:pPr>
        <w:spacing w:line="480" w:lineRule="auto"/>
        <w:ind w:firstLine="720"/>
        <w:jc w:val="both"/>
        <w:rPr>
          <w:rFonts w:eastAsiaTheme="minorEastAsia"/>
        </w:rPr>
      </w:pPr>
      <w:r>
        <w:t>Protein d</w:t>
      </w:r>
      <w:r w:rsidR="00FF1C92">
        <w:t xml:space="preserve">ensity </w:t>
      </w:r>
      <w:r w:rsidR="00FF1C92">
        <w:t xml:space="preserve">distributions </w:t>
      </w:r>
      <w:r w:rsidR="00FF1C92">
        <w:t xml:space="preserve">generated from the theory </w:t>
      </w:r>
      <w:r w:rsidR="00FF1C92">
        <w:t xml:space="preserve">can help to explain the morphological response of the NF brushes. </w:t>
      </w:r>
      <w:r w:rsidR="007A690E">
        <w:rPr>
          <w:rFonts w:eastAsiaTheme="minorEastAsia"/>
        </w:rPr>
        <w:t xml:space="preserve">NFL </w:t>
      </w:r>
      <w:r w:rsidR="00BA4B94">
        <w:rPr>
          <w:rFonts w:eastAsiaTheme="minorEastAsia"/>
        </w:rPr>
        <w:t xml:space="preserve">sidearms form brushes </w:t>
      </w:r>
      <w:r w:rsidR="009635E4">
        <w:rPr>
          <w:rFonts w:eastAsiaTheme="minorEastAsia"/>
        </w:rPr>
        <w:t xml:space="preserve">with much of the density </w:t>
      </w:r>
      <w:r w:rsidR="00492280">
        <w:rPr>
          <w:rFonts w:eastAsiaTheme="minorEastAsia"/>
        </w:rPr>
        <w:t>concentrated</w:t>
      </w:r>
      <w:r w:rsidR="00F16FF9">
        <w:rPr>
          <w:rFonts w:eastAsiaTheme="minorEastAsia"/>
        </w:rPr>
        <w:t xml:space="preserve"> close to the substrate (</w:t>
      </w:r>
      <w:r w:rsidR="00F16FF9" w:rsidRPr="00F16FF9">
        <w:rPr>
          <w:rFonts w:eastAsiaTheme="minorEastAsia"/>
          <w:color w:val="FF0000"/>
        </w:rPr>
        <w:t>Fig. XX</w:t>
      </w:r>
      <w:r w:rsidR="00F16FF9">
        <w:rPr>
          <w:rFonts w:eastAsiaTheme="minorEastAsia"/>
        </w:rPr>
        <w:t>)</w:t>
      </w:r>
      <w:r w:rsidR="00492280">
        <w:rPr>
          <w:rFonts w:eastAsiaTheme="minorEastAsia"/>
        </w:rPr>
        <w:t xml:space="preserve"> due to </w:t>
      </w:r>
      <w:r>
        <w:rPr>
          <w:rFonts w:eastAsiaTheme="minorEastAsia"/>
        </w:rPr>
        <w:t xml:space="preserve">their </w:t>
      </w:r>
      <w:r w:rsidR="00492280">
        <w:rPr>
          <w:rFonts w:eastAsiaTheme="minorEastAsia"/>
        </w:rPr>
        <w:t>neutrally charged grafted end</w:t>
      </w:r>
      <w:r>
        <w:rPr>
          <w:rFonts w:eastAsiaTheme="minorEastAsia"/>
        </w:rPr>
        <w:t>s comprising Block 1.</w:t>
      </w:r>
      <w:r w:rsidR="00F16FF9">
        <w:rPr>
          <w:rFonts w:eastAsiaTheme="minorEastAsia"/>
        </w:rPr>
        <w:t xml:space="preserve"> </w:t>
      </w:r>
      <w:r>
        <w:rPr>
          <w:rFonts w:eastAsiaTheme="minorEastAsia"/>
        </w:rPr>
        <w:t>On the other hand, t</w:t>
      </w:r>
      <w:r w:rsidR="00F16FF9">
        <w:rPr>
          <w:rFonts w:eastAsiaTheme="minorEastAsia"/>
        </w:rPr>
        <w:t>he</w:t>
      </w:r>
      <w:r w:rsidR="00BA4B94">
        <w:rPr>
          <w:rFonts w:eastAsiaTheme="minorEastAsia"/>
        </w:rPr>
        <w:t xml:space="preserve"> brush</w:t>
      </w:r>
      <w:r w:rsidR="00F16FF9">
        <w:rPr>
          <w:rFonts w:eastAsiaTheme="minorEastAsia"/>
        </w:rPr>
        <w:t xml:space="preserve"> region from </w:t>
      </w:r>
      <m:oMath>
        <m:r>
          <w:rPr>
            <w:rFonts w:ascii="Cambria Math" w:eastAsiaTheme="minorEastAsia" w:hAnsi="Cambria Math"/>
          </w:rPr>
          <m:t>15&lt;z&lt;35</m:t>
        </m:r>
      </m:oMath>
      <w:r w:rsidR="00F16FF9">
        <w:rPr>
          <w:rFonts w:eastAsiaTheme="minorEastAsia"/>
        </w:rPr>
        <w:t xml:space="preserve"> nm is predominantly formed by the </w:t>
      </w:r>
      <w:r w:rsidR="00492280">
        <w:rPr>
          <w:rFonts w:eastAsiaTheme="minorEastAsia"/>
        </w:rPr>
        <w:t xml:space="preserve">highly </w:t>
      </w:r>
      <w:r w:rsidR="00F16FF9">
        <w:rPr>
          <w:rFonts w:eastAsiaTheme="minorEastAsia"/>
        </w:rPr>
        <w:t xml:space="preserve">charged </w:t>
      </w:r>
      <w:r w:rsidR="00492280">
        <w:rPr>
          <w:rFonts w:eastAsiaTheme="minorEastAsia"/>
        </w:rPr>
        <w:t xml:space="preserve">Blocks 2,3, and 4 </w:t>
      </w:r>
      <w:r w:rsidR="00F16FF9">
        <w:rPr>
          <w:rFonts w:eastAsiaTheme="minorEastAsia"/>
        </w:rPr>
        <w:t xml:space="preserve">of </w:t>
      </w:r>
      <w:r w:rsidR="00492280">
        <w:rPr>
          <w:rFonts w:eastAsiaTheme="minorEastAsia"/>
        </w:rPr>
        <w:t>NFL</w:t>
      </w:r>
      <w:r w:rsidR="00F16FF9">
        <w:rPr>
          <w:rFonts w:eastAsiaTheme="minorEastAsia"/>
        </w:rPr>
        <w:t xml:space="preserve">, which collapses toward the surface as ionic strength is increased. </w:t>
      </w:r>
      <w:r w:rsidR="005C7604">
        <w:rPr>
          <w:rFonts w:eastAsiaTheme="minorEastAsia"/>
        </w:rPr>
        <w:t xml:space="preserve">As shown in </w:t>
      </w:r>
      <w:r w:rsidR="005C7604" w:rsidRPr="005C7604">
        <w:rPr>
          <w:rFonts w:eastAsiaTheme="minorEastAsia"/>
          <w:color w:val="FF0000"/>
        </w:rPr>
        <w:t>Fig. XX</w:t>
      </w:r>
      <w:r w:rsidR="005C7604">
        <w:rPr>
          <w:rFonts w:eastAsiaTheme="minorEastAsia"/>
        </w:rPr>
        <w:t xml:space="preserve">, </w:t>
      </w:r>
      <w:r w:rsidR="00F16FF9">
        <w:rPr>
          <w:rFonts w:eastAsiaTheme="minorEastAsia"/>
        </w:rPr>
        <w:t xml:space="preserve">NFM </w:t>
      </w:r>
      <w:r>
        <w:rPr>
          <w:rFonts w:eastAsiaTheme="minorEastAsia"/>
        </w:rPr>
        <w:t>sidearms similarly form a dense region near the substrate</w:t>
      </w:r>
      <w:r w:rsidR="00492280">
        <w:rPr>
          <w:rFonts w:eastAsiaTheme="minorEastAsia"/>
        </w:rPr>
        <w:t xml:space="preserve"> </w:t>
      </w:r>
      <w:r>
        <w:rPr>
          <w:rFonts w:eastAsiaTheme="minorEastAsia"/>
        </w:rPr>
        <w:t xml:space="preserve">due to an uncharged Block 1. </w:t>
      </w:r>
      <w:r w:rsidR="005C7604">
        <w:rPr>
          <w:rFonts w:eastAsiaTheme="minorEastAsia"/>
        </w:rPr>
        <w:t xml:space="preserve">Additionally, a shoulder in the distribution forms at </w:t>
      </w:r>
      <m:oMath>
        <m:r>
          <w:rPr>
            <w:rFonts w:ascii="Cambria Math" w:eastAsiaTheme="minorEastAsia" w:hAnsi="Cambria Math"/>
          </w:rPr>
          <m:t xml:space="preserve">z&gt;10 </m:t>
        </m:r>
      </m:oMath>
      <w:r w:rsidR="005C7604">
        <w:rPr>
          <w:rFonts w:eastAsiaTheme="minorEastAsia"/>
        </w:rPr>
        <w:t>nm</w:t>
      </w:r>
      <w:r w:rsidR="000E3C20">
        <w:rPr>
          <w:rFonts w:eastAsiaTheme="minorEastAsia"/>
        </w:rPr>
        <w:t xml:space="preserve"> across varying ionic strengths</w:t>
      </w:r>
      <w:r w:rsidR="005C7604">
        <w:rPr>
          <w:rFonts w:eastAsiaTheme="minorEastAsia"/>
        </w:rPr>
        <w:t xml:space="preserve">. </w:t>
      </w:r>
      <w:r w:rsidR="000E3C20">
        <w:rPr>
          <w:rFonts w:eastAsiaTheme="minorEastAsia"/>
        </w:rPr>
        <w:t>The density distributions of the blocks comprising NFM (</w:t>
      </w:r>
      <w:r w:rsidR="000E3C20" w:rsidRPr="000E3C20">
        <w:rPr>
          <w:rFonts w:eastAsiaTheme="minorEastAsia"/>
          <w:color w:val="FF0000"/>
        </w:rPr>
        <w:t>Fig. XX</w:t>
      </w:r>
      <w:r w:rsidR="000E3C20">
        <w:rPr>
          <w:rFonts w:eastAsiaTheme="minorEastAsia"/>
        </w:rPr>
        <w:t xml:space="preserve">) indicate that the shoulder is caused by its bimodal charge distribution, where a subpopulation of the constituent chains is expelled far into the solution </w:t>
      </w:r>
      <w:r w:rsidR="00E8303E">
        <w:rPr>
          <w:rFonts w:eastAsiaTheme="minorEastAsia"/>
        </w:rPr>
        <w:t>to lower the local charge distribution</w:t>
      </w:r>
      <w:r w:rsidR="000E3C20">
        <w:rPr>
          <w:rFonts w:eastAsiaTheme="minorEastAsia"/>
        </w:rPr>
        <w:t>.</w:t>
      </w:r>
      <w:r w:rsidR="004E24DA">
        <w:rPr>
          <w:rFonts w:eastAsiaTheme="minorEastAsia"/>
        </w:rPr>
        <w:t xml:space="preserve"> Neither NFL nor NFM brush morphologies change after phosphorylation due to the minimal change in charge distribution.</w:t>
      </w:r>
    </w:p>
    <w:p w14:paraId="21348D83" w14:textId="639D4FFA" w:rsidR="004E24DA" w:rsidRPr="004E24DA" w:rsidRDefault="004E24DA" w:rsidP="004E24DA">
      <w:pPr>
        <w:spacing w:line="480" w:lineRule="auto"/>
        <w:ind w:firstLine="720"/>
        <w:jc w:val="both"/>
      </w:pPr>
      <w:r>
        <w:t>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The density distributions of the comprising blocks indicate __ as the conformation of the constituent proteins.</w:t>
      </w:r>
    </w:p>
    <w:p w14:paraId="6A49500B" w14:textId="1C90481A" w:rsidR="00F16FF9" w:rsidRPr="00607762" w:rsidRDefault="00E90872" w:rsidP="00607762">
      <w:pPr>
        <w:spacing w:line="480" w:lineRule="auto"/>
        <w:ind w:firstLine="720"/>
        <w:jc w:val="both"/>
        <w:rPr>
          <w:i/>
          <w:iCs/>
        </w:rPr>
      </w:pPr>
      <w:r>
        <w:t xml:space="preserve">We note that there are discrepancies between the experimentally measured </w:t>
      </w:r>
      <w:r w:rsidR="00F16FF9">
        <w:t xml:space="preserve">heights and those </w:t>
      </w:r>
      <w:r w:rsidR="006A3EB1">
        <w:t>predicted by the theory</w:t>
      </w:r>
      <w:r w:rsidR="00F16FF9">
        <w:t>, particularly at low ionic strengths.</w:t>
      </w:r>
      <w:r w:rsidR="00F16FF9" w:rsidRPr="00F16FF9">
        <w:t xml:space="preserve"> </w:t>
      </w:r>
      <w:r w:rsidR="00F16FF9">
        <w:t xml:space="preserve">The systematic height discrepancies at low ionic strengths can be attributed to electrostatic correlations: whereas the ___ </w:t>
      </w:r>
      <w:r w:rsidR="00F16FF9">
        <w:lastRenderedPageBreak/>
        <w:t>. Additionally, the same coarse-grained b, v values were used for all  proteins in this work. ___.</w:t>
      </w:r>
      <w:r w:rsidR="00F16FF9">
        <w:t xml:space="preserve"> </w:t>
      </w:r>
      <w:r w:rsidR="00607762" w:rsidRPr="00607762">
        <w:rPr>
          <w:i/>
          <w:iCs/>
        </w:rPr>
        <w:t>Effect of pKa on ionic strength/alpha?</w:t>
      </w:r>
      <w:r w:rsidR="00607762">
        <w:rPr>
          <w:i/>
          <w:iCs/>
        </w:rPr>
        <w:t xml:space="preserve"> </w:t>
      </w:r>
      <w:r w:rsidR="00F16FF9">
        <w:t>The height profile of NFH does not match at intermediate ionic strengths due to the pKa of the phosphate being phosphoserine 5.6, phosphothreonine 5.9 (Xie 2005 Anal Biochem). As the ionic strength is increased from the salt-free case, the salt ions displace the local hydrogen concentration, resulting in a lower charge fraction than used for the quenched case. At high salt concentrations, the screening effect nullifies the overestimation in charge fraction.</w:t>
      </w:r>
      <w:r w:rsidR="00607762">
        <w:t xml:space="preserve"> </w:t>
      </w:r>
    </w:p>
    <w:p w14:paraId="2C6D24E8" w14:textId="43E566D5" w:rsidR="00606D4C" w:rsidRDefault="00606D4C" w:rsidP="00851A95">
      <w:pPr>
        <w:spacing w:line="480" w:lineRule="auto"/>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851A95">
      <w:pPr>
        <w:spacing w:line="480" w:lineRule="auto"/>
        <w:jc w:val="both"/>
        <w:rPr>
          <w:i/>
          <w:iCs/>
        </w:rPr>
      </w:pPr>
      <w:r>
        <w:rPr>
          <w:i/>
          <w:iCs/>
        </w:rPr>
        <w:t>NFH Del2</w:t>
      </w:r>
    </w:p>
    <w:p w14:paraId="2FAE4F23" w14:textId="0DB48BB6" w:rsidR="00675E7D" w:rsidRDefault="00675E7D" w:rsidP="00851A95">
      <w:pPr>
        <w:spacing w:line="480" w:lineRule="auto"/>
        <w:jc w:val="both"/>
      </w:pPr>
      <w:r>
        <w:t xml:space="preserve">Deletion of segments is straightforwardly treated by SCFT, providing physical reasoning for the trends measured experimentally. </w:t>
      </w:r>
    </w:p>
    <w:p w14:paraId="580DA948" w14:textId="2803184D" w:rsidR="00675E7D" w:rsidRDefault="00841785" w:rsidP="00851A95">
      <w:pPr>
        <w:spacing w:line="480" w:lineRule="auto"/>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w:t>
      </w:r>
      <w:r>
        <w:lastRenderedPageBreak/>
        <w:t xml:space="preserve">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851A95">
      <w:pPr>
        <w:spacing w:line="480" w:lineRule="auto"/>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0E3C20"/>
    <w:rsid w:val="001113B2"/>
    <w:rsid w:val="0013314A"/>
    <w:rsid w:val="00144D1E"/>
    <w:rsid w:val="001A6A58"/>
    <w:rsid w:val="00274E40"/>
    <w:rsid w:val="00306C88"/>
    <w:rsid w:val="00340CFD"/>
    <w:rsid w:val="00351969"/>
    <w:rsid w:val="003B1D6C"/>
    <w:rsid w:val="004655CA"/>
    <w:rsid w:val="00492280"/>
    <w:rsid w:val="004E24DA"/>
    <w:rsid w:val="00525564"/>
    <w:rsid w:val="005529E3"/>
    <w:rsid w:val="00556DD7"/>
    <w:rsid w:val="005930B3"/>
    <w:rsid w:val="005C58B5"/>
    <w:rsid w:val="005C7604"/>
    <w:rsid w:val="006011DA"/>
    <w:rsid w:val="00606D4C"/>
    <w:rsid w:val="00607762"/>
    <w:rsid w:val="0067356D"/>
    <w:rsid w:val="00675E7D"/>
    <w:rsid w:val="00676B6D"/>
    <w:rsid w:val="00685DC4"/>
    <w:rsid w:val="00692E94"/>
    <w:rsid w:val="006A3EB1"/>
    <w:rsid w:val="007A690E"/>
    <w:rsid w:val="00841785"/>
    <w:rsid w:val="00843586"/>
    <w:rsid w:val="00843CFA"/>
    <w:rsid w:val="00845BBD"/>
    <w:rsid w:val="00851A95"/>
    <w:rsid w:val="00897E24"/>
    <w:rsid w:val="009635E4"/>
    <w:rsid w:val="00A565E6"/>
    <w:rsid w:val="00AF24E9"/>
    <w:rsid w:val="00B80F9F"/>
    <w:rsid w:val="00B91D99"/>
    <w:rsid w:val="00BA4B94"/>
    <w:rsid w:val="00BC74FF"/>
    <w:rsid w:val="00BE1CAC"/>
    <w:rsid w:val="00C9319A"/>
    <w:rsid w:val="00D930BC"/>
    <w:rsid w:val="00DA5D5C"/>
    <w:rsid w:val="00DB6A56"/>
    <w:rsid w:val="00E8303E"/>
    <w:rsid w:val="00E90872"/>
    <w:rsid w:val="00EF2D64"/>
    <w:rsid w:val="00F16FF9"/>
    <w:rsid w:val="00F72A50"/>
    <w:rsid w:val="00FA1685"/>
    <w:rsid w:val="00FE7E61"/>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34</cp:revision>
  <dcterms:created xsi:type="dcterms:W3CDTF">2024-01-24T18:07:00Z</dcterms:created>
  <dcterms:modified xsi:type="dcterms:W3CDTF">2024-01-27T00:27:00Z</dcterms:modified>
</cp:coreProperties>
</file>