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17C9" w14:textId="667DC0B4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NF Draft</w:t>
      </w:r>
    </w:p>
    <w:p w14:paraId="70D72A43" w14:textId="4AD3F3C3" w:rsidR="00685DC4" w:rsidRDefault="00685DC4">
      <w:pPr>
        <w:rPr>
          <w:b/>
          <w:bCs/>
        </w:rPr>
      </w:pPr>
      <w:r w:rsidRPr="00685DC4">
        <w:rPr>
          <w:b/>
          <w:bCs/>
        </w:rPr>
        <w:t>Model and Theory (abbreviated)</w:t>
      </w:r>
    </w:p>
    <w:p w14:paraId="199A4460" w14:textId="659DEE83" w:rsidR="00340CFD" w:rsidRPr="00685DC4" w:rsidRDefault="00685DC4">
      <w:r>
        <w:t xml:space="preserve">To obtain microscopic information of the protein brushes such as monomer density distributions, a </w:t>
      </w:r>
      <w:r w:rsidR="003B1D6C">
        <w:t xml:space="preserve">polyelectrolyte </w:t>
      </w:r>
      <w:r>
        <w:t>continuous-space self-consistent field theory is employed. While</w:t>
      </w:r>
      <w:r w:rsidR="003B1D6C">
        <w:t xml:space="preserve"> the key process is outlined here</w:t>
      </w:r>
      <w:r>
        <w:t>, the details can be found in a previous work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charged block macromolecules </w:t>
      </w:r>
      <w:r w:rsidR="003B1D6C">
        <w:t>immersed in a monovalent salt solution and grafted upon a non-interacting substrate.</w:t>
      </w:r>
    </w:p>
    <w:p w14:paraId="2D6D82E0" w14:textId="5D4295DA" w:rsidR="00685DC4" w:rsidRDefault="00685DC4">
      <w:pPr>
        <w:rPr>
          <w:b/>
          <w:bCs/>
        </w:rPr>
      </w:pPr>
      <w:r w:rsidRPr="00685DC4">
        <w:rPr>
          <w:b/>
          <w:bCs/>
        </w:rPr>
        <w:t>Results and Discussion</w:t>
      </w:r>
    </w:p>
    <w:p w14:paraId="07A1CED8" w14:textId="1B5127CC" w:rsidR="00606D4C" w:rsidRPr="00685DC4" w:rsidRDefault="00606D4C">
      <w:pPr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>
      <w:r>
        <w:rPr>
          <w:i/>
          <w:iCs/>
        </w:rPr>
        <w:t>Pure brush</w:t>
      </w:r>
    </w:p>
    <w:p w14:paraId="26D9EF03" w14:textId="0CB520A1" w:rsidR="00340CFD" w:rsidRDefault="00340CFD">
      <w:r>
        <w:t>SCFT-generated density distributions provide details on the morphology of the NF brushes.</w:t>
      </w:r>
    </w:p>
    <w:p w14:paraId="08899FF3" w14:textId="2FB75238" w:rsidR="00340CFD" w:rsidRDefault="00340CFD"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>
      <w:r>
        <w:lastRenderedPageBreak/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8B400E9" w:rsidR="00340CFD" w:rsidRDefault="00340CFD"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7.2.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>
      <w:pPr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>
      <w:r>
        <w:t xml:space="preserve">As shown by the polymer density profiles of NFHD2, the deletion of the Block 2 results in an increase in local charge density, providing a local attraction with the positively charged Block 3. In </w:t>
      </w:r>
      <w:r>
        <w:lastRenderedPageBreak/>
        <w:t xml:space="preserve">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/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340CFD"/>
    <w:rsid w:val="003B1D6C"/>
    <w:rsid w:val="004655CA"/>
    <w:rsid w:val="00556DD7"/>
    <w:rsid w:val="006011DA"/>
    <w:rsid w:val="00606D4C"/>
    <w:rsid w:val="00675E7D"/>
    <w:rsid w:val="00685DC4"/>
    <w:rsid w:val="008417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</cp:revision>
  <dcterms:created xsi:type="dcterms:W3CDTF">2024-01-24T18:07:00Z</dcterms:created>
  <dcterms:modified xsi:type="dcterms:W3CDTF">2024-01-26T20:22:00Z</dcterms:modified>
</cp:coreProperties>
</file>