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BA57E48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</w:t>
      </w:r>
      <w:r w:rsidR="00BE1CAC" w:rsidRPr="00A67841">
        <w:rPr>
          <w:rFonts w:ascii="Times New Roman" w:hAnsi="Times New Roman" w:cs="Times New Roman"/>
        </w:rPr>
        <w:t xml:space="preserve"> can be mapped to the charged block macromolecular model by blocking neighboring residues </w:t>
      </w:r>
      <w:r w:rsidR="00BE1CAC" w:rsidRPr="00A67841">
        <w:rPr>
          <w:rFonts w:ascii="Times New Roman" w:hAnsi="Times New Roman" w:cs="Times New Roman"/>
        </w:rPr>
        <w:t>with</w:t>
      </w:r>
      <w:r w:rsidR="00BE1CAC" w:rsidRPr="00A67841">
        <w:rPr>
          <w:rFonts w:ascii="Times New Roman" w:hAnsi="Times New Roman" w:cs="Times New Roman"/>
        </w:rPr>
        <w:t xml:space="preserve"> similar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The charge density of each block is denoted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hydrophobicities of each block are manifested by the</w:t>
      </w:r>
      <w:r w:rsidR="00F72A50" w:rsidRPr="00A67841">
        <w:rPr>
          <w:rFonts w:ascii="Times New Roman" w:eastAsiaTheme="minorEastAsia" w:hAnsi="Times New Roman" w:cs="Times New Roman"/>
        </w:rPr>
        <w:t>ir</w:t>
      </w:r>
      <w:r w:rsidR="00AF24E9" w:rsidRPr="00A67841">
        <w:rPr>
          <w:rFonts w:ascii="Times New Roman" w:eastAsiaTheme="minorEastAsia" w:hAnsi="Times New Roman" w:cs="Times New Roman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7397C353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0.0278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0.0301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 xml:space="preserve">, </w:t>
      </w:r>
      <w:r w:rsidRPr="00A67841">
        <w:rPr>
          <w:rFonts w:ascii="Times New Roman" w:eastAsiaTheme="minorEastAsia" w:hAnsi="Times New Roman" w:cs="Times New Roman"/>
        </w:rPr>
        <w:t xml:space="preserve">and 0.01854 </w:t>
      </w:r>
      <w:r w:rsidRPr="00A67841">
        <w:rPr>
          <w:rFonts w:ascii="Times New Roman" w:eastAsiaTheme="minorEastAsia" w:hAnsi="Times New Roman" w:cs="Times New Roman"/>
        </w:rPr>
        <w:t>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</w:t>
      </w:r>
      <w:r w:rsidRPr="00A67841">
        <w:rPr>
          <w:rFonts w:ascii="Times New Roman" w:eastAsiaTheme="minorEastAsia" w:hAnsi="Times New Roman" w:cs="Times New Roman"/>
        </w:rPr>
        <w:t xml:space="preserve">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>nm a</w:t>
      </w:r>
      <w:proofErr w:type="spellStart"/>
      <w:r w:rsidR="00D930BC" w:rsidRPr="00A67841">
        <w:rPr>
          <w:rFonts w:ascii="Times New Roman" w:eastAsiaTheme="minorEastAsia" w:hAnsi="Times New Roman" w:cs="Times New Roman"/>
        </w:rPr>
        <w:t>nd</w:t>
      </w:r>
      <w:proofErr w:type="spellEnd"/>
      <w:r w:rsidR="00D930BC" w:rsidRPr="00A67841">
        <w:rPr>
          <w:rFonts w:ascii="Times New Roman" w:eastAsiaTheme="minorEastAsia" w:hAnsi="Times New Roman" w:cs="Times New Roman"/>
        </w:rPr>
        <w:t xml:space="preserve">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34E73A85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 the 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</w:t>
      </w:r>
      <w:r w:rsidR="00C9319A" w:rsidRPr="00A67841">
        <w:rPr>
          <w:rFonts w:ascii="Times New Roman" w:hAnsi="Times New Roman" w:cs="Times New Roman"/>
          <w:color w:val="FF0000"/>
        </w:rPr>
        <w:t>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FF1C92" w:rsidRPr="00A67841">
        <w:rPr>
          <w:rFonts w:ascii="Times New Roman" w:eastAsiaTheme="minorEastAsia" w:hAnsi="Times New Roman" w:cs="Times New Roman"/>
        </w:rPr>
        <w:t xml:space="preserve">Overall, the heights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60F6247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</w:t>
      </w:r>
      <w:r w:rsidR="00FF1C92" w:rsidRPr="00A67841">
        <w:rPr>
          <w:rFonts w:ascii="Times New Roman" w:hAnsi="Times New Roman" w:cs="Times New Roman"/>
        </w:rPr>
        <w:t xml:space="preserve">distributions </w:t>
      </w:r>
      <w:r w:rsidR="00FF1C92" w:rsidRPr="00A67841">
        <w:rPr>
          <w:rFonts w:ascii="Times New Roman" w:hAnsi="Times New Roman" w:cs="Times New Roman"/>
        </w:rPr>
        <w:t xml:space="preserve">generated from the theory </w:t>
      </w:r>
      <w:r w:rsidR="00FF1C92" w:rsidRPr="00A67841">
        <w:rPr>
          <w:rFonts w:ascii="Times New Roman" w:hAnsi="Times New Roman" w:cs="Times New Roman"/>
        </w:rPr>
        <w:t xml:space="preserve">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9635E4" w:rsidRPr="00A67841">
        <w:rPr>
          <w:rFonts w:ascii="Times New Roman" w:eastAsiaTheme="minorEastAsia" w:hAnsi="Times New Roman" w:cs="Times New Roman"/>
        </w:rPr>
        <w:t xml:space="preserve">with much of the density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is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 xml:space="preserve">Blocks 2,3,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collapses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a dense region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0E3C20" w:rsidRPr="00A67841">
        <w:rPr>
          <w:rFonts w:ascii="Times New Roman" w:eastAsiaTheme="minorEastAsia" w:hAnsi="Times New Roman" w:cs="Times New Roman"/>
        </w:rPr>
        <w:t>The density distributions of the blocks comprising 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 xml:space="preserve">) indicate that the shoulder is caused by its bimodal charge distribution, where a subpopulation of the constituent chains is expelled far into the solution </w:t>
      </w:r>
      <w:r w:rsidR="00E8303E" w:rsidRPr="00A67841">
        <w:rPr>
          <w:rFonts w:ascii="Times New Roman" w:eastAsiaTheme="minorEastAsia" w:hAnsi="Times New Roman" w:cs="Times New Roman"/>
        </w:rPr>
        <w:t>to lower the local charge distribution</w:t>
      </w:r>
      <w:r w:rsidR="000E3C20" w:rsidRPr="00A67841">
        <w:rPr>
          <w:rFonts w:ascii="Times New Roman" w:eastAsiaTheme="minorEastAsia" w:hAnsi="Times New Roman" w:cs="Times New Roman"/>
        </w:rPr>
        <w:t>.</w:t>
      </w:r>
      <w:r w:rsidR="004E24DA" w:rsidRPr="00A67841">
        <w:rPr>
          <w:rFonts w:ascii="Times New Roman" w:eastAsiaTheme="minorEastAsia" w:hAnsi="Times New Roman" w:cs="Times New Roman"/>
        </w:rPr>
        <w:t xml:space="preserve"> Neither NFL nor NFM brush morphologies change after phosphorylation due to the minimal change in charge distribution.</w:t>
      </w:r>
    </w:p>
    <w:p w14:paraId="21348D83" w14:textId="3E13FB12" w:rsidR="004E24DA" w:rsidRPr="00A67841" w:rsidRDefault="009E16F4" w:rsidP="000746E3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a fully condensed morphology regardless of the 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67841" w:rsidRPr="00A67841">
        <w:rPr>
          <w:rFonts w:ascii="Times New Roman" w:hAnsi="Times New Roman" w:cs="Times New Roman"/>
        </w:rPr>
        <w:t xml:space="preserve">Block 3 </w:t>
      </w:r>
      <w:r w:rsidR="004E24DA" w:rsidRPr="00A67841">
        <w:rPr>
          <w:rFonts w:ascii="Times New Roman" w:hAnsi="Times New Roman" w:cs="Times New Roman"/>
        </w:rPr>
        <w:t xml:space="preserve">increases in charge density significantly. </w:t>
      </w:r>
      <w:r w:rsidR="00A67841" w:rsidRPr="00A67841">
        <w:rPr>
          <w:rFonts w:ascii="Times New Roman" w:hAnsi="Times New Roman" w:cs="Times New Roman"/>
        </w:rPr>
        <w:t>The high charge density within phosphorylated NFH brushes</w:t>
      </w:r>
      <w:r w:rsidR="004E24DA" w:rsidRPr="00A67841">
        <w:rPr>
          <w:rFonts w:ascii="Times New Roman" w:hAnsi="Times New Roman" w:cs="Times New Roman"/>
        </w:rPr>
        <w:t xml:space="preserve"> cause</w:t>
      </w:r>
      <w:r w:rsidR="00621173" w:rsidRPr="00A67841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 portion of the brush to be expelled into a diffuse outer 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 xml:space="preserve">. As the electrostatic screening is increased, the </w:t>
      </w:r>
      <w:r w:rsidR="00621173" w:rsidRPr="00A67841">
        <w:rPr>
          <w:rFonts w:ascii="Times New Roman" w:hAnsi="Times New Roman" w:cs="Times New Roman"/>
        </w:rPr>
        <w:t xml:space="preserve">outer layer collapses to form a condensed layer far from the substrate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I=20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this morphology is </w:t>
      </w:r>
      <w:r w:rsidR="00E17E8C">
        <w:rPr>
          <w:rFonts w:ascii="Times New Roman" w:eastAsiaTheme="minorEastAsia" w:hAnsi="Times New Roman" w:cs="Times New Roman"/>
        </w:rPr>
        <w:t>also predicted</w:t>
      </w:r>
      <w:r w:rsidR="009834F1">
        <w:rPr>
          <w:rFonts w:ascii="Times New Roman" w:eastAsiaTheme="minorEastAsia" w:hAnsi="Times New Roman" w:cs="Times New Roman"/>
        </w:rPr>
        <w:t xml:space="preserve"> by 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for phosphorylated NFH in brush</w:t>
      </w:r>
      <w:r w:rsidR="009834F1">
        <w:rPr>
          <w:rFonts w:ascii="Times New Roman" w:eastAsiaTheme="minorEastAsia" w:hAnsi="Times New Roman" w:cs="Times New Roman"/>
        </w:rPr>
        <w:t xml:space="preserve">es also </w:t>
      </w:r>
      <w:r w:rsidR="00E17E8C">
        <w:rPr>
          <w:rFonts w:ascii="Times New Roman" w:eastAsiaTheme="minorEastAsia" w:hAnsi="Times New Roman" w:cs="Times New Roman"/>
        </w:rPr>
        <w:t>containing NFL and NFM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4E24DA" w:rsidRPr="00A67841">
        <w:rPr>
          <w:rFonts w:ascii="Times New Roman" w:hAnsi="Times New Roman" w:cs="Times New Roman"/>
        </w:rPr>
        <w:t>The density distributions of the comprising blocks indicate __ as the conformation of the constituent proteins.</w:t>
      </w:r>
    </w:p>
    <w:p w14:paraId="6A49500B" w14:textId="1C90481A" w:rsidR="00F16FF9" w:rsidRPr="00A67841" w:rsidRDefault="00E90872" w:rsidP="00607762">
      <w:pPr>
        <w:spacing w:line="48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</w:rPr>
        <w:lastRenderedPageBreak/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</w:t>
      </w:r>
      <w:r w:rsidR="00F16FF9" w:rsidRPr="00A67841">
        <w:rPr>
          <w:rFonts w:ascii="Times New Roman" w:hAnsi="Times New Roman" w:cs="Times New Roman"/>
        </w:rPr>
        <w:t>The systematic height discrepancies at low ionic strengths can be attributed to electrostatic correlations: whereas the ___ . Additionally, the same coarse-grained b, v values were used for all  proteins in this work. ___.</w:t>
      </w:r>
      <w:r w:rsidR="00F16FF9" w:rsidRPr="00A67841">
        <w:rPr>
          <w:rFonts w:ascii="Times New Roman" w:hAnsi="Times New Roman" w:cs="Times New Roman"/>
        </w:rPr>
        <w:t xml:space="preserve"> </w:t>
      </w:r>
      <w:r w:rsidR="00607762" w:rsidRPr="00A67841">
        <w:rPr>
          <w:rFonts w:ascii="Times New Roman" w:hAnsi="Times New Roman" w:cs="Times New Roman"/>
          <w:i/>
          <w:iCs/>
        </w:rPr>
        <w:t xml:space="preserve">Effect of </w:t>
      </w:r>
      <w:proofErr w:type="spellStart"/>
      <w:r w:rsidR="00607762" w:rsidRPr="00A67841">
        <w:rPr>
          <w:rFonts w:ascii="Times New Roman" w:hAnsi="Times New Roman" w:cs="Times New Roman"/>
          <w:i/>
          <w:iCs/>
        </w:rPr>
        <w:t>pKa</w:t>
      </w:r>
      <w:proofErr w:type="spellEnd"/>
      <w:r w:rsidR="00607762" w:rsidRPr="00A67841">
        <w:rPr>
          <w:rFonts w:ascii="Times New Roman" w:hAnsi="Times New Roman" w:cs="Times New Roman"/>
          <w:i/>
          <w:iCs/>
        </w:rPr>
        <w:t xml:space="preserve"> on ionic strength/alpha?</w:t>
      </w:r>
      <w:r w:rsidR="00607762" w:rsidRPr="00A67841">
        <w:rPr>
          <w:rFonts w:ascii="Times New Roman" w:hAnsi="Times New Roman" w:cs="Times New Roman"/>
          <w:i/>
          <w:iCs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The height profile of NFH does not match at intermediate ionic strengths due to the </w:t>
      </w:r>
      <w:proofErr w:type="spellStart"/>
      <w:r w:rsidR="00F16FF9" w:rsidRPr="00A67841">
        <w:rPr>
          <w:rFonts w:ascii="Times New Roman" w:hAnsi="Times New Roman" w:cs="Times New Roman"/>
        </w:rPr>
        <w:t>pKa</w:t>
      </w:r>
      <w:proofErr w:type="spellEnd"/>
      <w:r w:rsidR="00F16FF9" w:rsidRPr="00A67841">
        <w:rPr>
          <w:rFonts w:ascii="Times New Roman" w:hAnsi="Times New Roman" w:cs="Times New Roman"/>
        </w:rPr>
        <w:t xml:space="preserve"> of the phosphate being phosphoserine 5.6, </w:t>
      </w:r>
      <w:proofErr w:type="spellStart"/>
      <w:r w:rsidR="00F16FF9" w:rsidRPr="00A67841">
        <w:rPr>
          <w:rFonts w:ascii="Times New Roman" w:hAnsi="Times New Roman" w:cs="Times New Roman"/>
        </w:rPr>
        <w:t>phosphothreonine</w:t>
      </w:r>
      <w:proofErr w:type="spellEnd"/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). As the ionic strength is increased from the salt-free case, the salt ions displace the local hydrogen concentration, resulting in a lower charge fraction than used for the quenched case. At high salt concentrations, the screening effect nullifies the overestimation in charge fraction.</w:t>
      </w:r>
      <w:r w:rsidR="00607762" w:rsidRPr="00A67841">
        <w:rPr>
          <w:rFonts w:ascii="Times New Roman" w:hAnsi="Times New Roman" w:cs="Times New Roman"/>
        </w:rPr>
        <w:t xml:space="preserve"> 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lastRenderedPageBreak/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E3C20"/>
    <w:rsid w:val="001113B2"/>
    <w:rsid w:val="0013314A"/>
    <w:rsid w:val="00144D1E"/>
    <w:rsid w:val="001A6A58"/>
    <w:rsid w:val="00274E40"/>
    <w:rsid w:val="00306C88"/>
    <w:rsid w:val="00340CFD"/>
    <w:rsid w:val="00351969"/>
    <w:rsid w:val="003B1D6C"/>
    <w:rsid w:val="003F779A"/>
    <w:rsid w:val="004655CA"/>
    <w:rsid w:val="00492280"/>
    <w:rsid w:val="004E24DA"/>
    <w:rsid w:val="00525564"/>
    <w:rsid w:val="005529E3"/>
    <w:rsid w:val="00556DD7"/>
    <w:rsid w:val="005930B3"/>
    <w:rsid w:val="005C58B5"/>
    <w:rsid w:val="005C7604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A690E"/>
    <w:rsid w:val="00841785"/>
    <w:rsid w:val="00843586"/>
    <w:rsid w:val="00843CFA"/>
    <w:rsid w:val="00845BBD"/>
    <w:rsid w:val="00851A95"/>
    <w:rsid w:val="00896015"/>
    <w:rsid w:val="00897E24"/>
    <w:rsid w:val="009635E4"/>
    <w:rsid w:val="009730D7"/>
    <w:rsid w:val="009834F1"/>
    <w:rsid w:val="009E16F4"/>
    <w:rsid w:val="00A565E6"/>
    <w:rsid w:val="00A67841"/>
    <w:rsid w:val="00AF24E9"/>
    <w:rsid w:val="00B04C21"/>
    <w:rsid w:val="00B80F9F"/>
    <w:rsid w:val="00B91D99"/>
    <w:rsid w:val="00BA4B94"/>
    <w:rsid w:val="00BC74FF"/>
    <w:rsid w:val="00BE1CAC"/>
    <w:rsid w:val="00C9319A"/>
    <w:rsid w:val="00D930BC"/>
    <w:rsid w:val="00DA5D5C"/>
    <w:rsid w:val="00DB6A56"/>
    <w:rsid w:val="00E17E8C"/>
    <w:rsid w:val="00E8303E"/>
    <w:rsid w:val="00E90872"/>
    <w:rsid w:val="00EF2D64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42</cp:revision>
  <dcterms:created xsi:type="dcterms:W3CDTF">2024-01-24T18:07:00Z</dcterms:created>
  <dcterms:modified xsi:type="dcterms:W3CDTF">2024-01-27T01:08:00Z</dcterms:modified>
</cp:coreProperties>
</file>