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AF24E9">
      <w:pPr>
        <w:jc w:val="both"/>
        <w:rPr>
          <w:b/>
          <w:bCs/>
        </w:rPr>
      </w:pPr>
      <w:r>
        <w:rPr>
          <w:b/>
          <w:bCs/>
        </w:rPr>
        <w:t>Self-Consistent Field Theory</w:t>
      </w:r>
    </w:p>
    <w:p w14:paraId="7566780E" w14:textId="77777777" w:rsidR="00351969" w:rsidRDefault="00685DC4" w:rsidP="00AF24E9">
      <w:pPr>
        <w:jc w:val="both"/>
        <w:rPr>
          <w:rFonts w:eastAsiaTheme="minorEastAsia"/>
        </w:rPr>
      </w:pPr>
      <w:r>
        <w:t xml:space="preserve">To obtain microscopic information of the protein brushes such as monomer density distributions, a </w:t>
      </w:r>
      <w:r w:rsidR="003B1D6C">
        <w:t xml:space="preserve">polyelectrolyte </w:t>
      </w:r>
      <w:r>
        <w:t>continuous-space self-consistent field theory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charged block 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chain elasticity, short-range hydrophobicity, and electrostatics</w:t>
      </w:r>
      <w:r w:rsidR="00B80F9F">
        <w:t>. By employing the standard self-consistent procedure,</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The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 xml:space="preserve">hydrophobicities of each block are manifested by the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xml:space="preserve">, which describes the short-range van der Waals interactions between the blocks and the solvent. </w:t>
      </w:r>
    </w:p>
    <w:p w14:paraId="199A4460" w14:textId="4BB50161" w:rsidR="00340CFD" w:rsidRPr="00685DC4" w:rsidRDefault="00AF24E9" w:rsidP="00AF24E9">
      <w:pPr>
        <w:jc w:val="both"/>
      </w:pPr>
      <w:r>
        <w:rPr>
          <w:rFonts w:eastAsiaTheme="minorEastAsia"/>
        </w:rPr>
        <w:t>In the work,</w:t>
      </w:r>
      <w:r w:rsidR="00351969" w:rsidRPr="00351969">
        <w:rPr>
          <w:rFonts w:eastAsiaTheme="minorEastAsia"/>
        </w:rPr>
        <w:t xml:space="preserve"> </w:t>
      </w:r>
      <w:r w:rsidR="00351969">
        <w:rPr>
          <w:rFonts w:eastAsiaTheme="minorEastAsia"/>
        </w:rPr>
        <w:t>Phosphorylated serine and threonine residues are taken to</w:t>
      </w:r>
      <w:r w:rsidR="00351969">
        <w:rPr>
          <w:rFonts w:eastAsiaTheme="minorEastAsia"/>
        </w:rPr>
        <w:t xml:space="preserve">  </w:t>
      </w:r>
      <w:r w:rsidR="00351969">
        <w:t>R</w:t>
      </w:r>
      <w:r w:rsidR="0067356D">
        <w:rPr>
          <w:rFonts w:eastAsiaTheme="minorEastAsia"/>
        </w:rPr>
        <w:t>eported relative hydrophobicities</w:t>
      </w:r>
      <w:r w:rsidR="00351969">
        <w:rPr>
          <w:rFonts w:eastAsiaTheme="minorEastAsia"/>
        </w:rPr>
        <w:t xml:space="preserve"> (Monera 1995 J Pep Sci)</w:t>
      </w:r>
      <w:r w:rsidR="0067356D">
        <w:rPr>
          <w:rFonts w:eastAsiaTheme="minorEastAsia"/>
        </w:rPr>
        <w:t xml:space="preserve"> are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67356D">
        <w:rPr>
          <w:rFonts w:eastAsiaTheme="minorEastAsia"/>
        </w:rPr>
        <w:t>, chosen for the best fit with experimental data.</w:t>
      </w:r>
      <w:r w:rsidR="00351969">
        <w:rPr>
          <w:rFonts w:eastAsiaTheme="minorEastAsia"/>
        </w:rPr>
        <w:t xml:space="preserve"> </w:t>
      </w:r>
    </w:p>
    <w:p w14:paraId="2D6D82E0" w14:textId="5D4295DA" w:rsidR="00685DC4" w:rsidRDefault="00685DC4" w:rsidP="00AF24E9">
      <w:pPr>
        <w:jc w:val="both"/>
        <w:rPr>
          <w:b/>
          <w:bCs/>
        </w:rPr>
      </w:pPr>
      <w:r w:rsidRPr="00685DC4">
        <w:rPr>
          <w:b/>
          <w:bCs/>
        </w:rPr>
        <w:t>Results and Discussion</w:t>
      </w:r>
    </w:p>
    <w:p w14:paraId="07A1CED8" w14:textId="1B5127CC" w:rsidR="00606D4C" w:rsidRPr="00685DC4" w:rsidRDefault="00606D4C" w:rsidP="00AF24E9">
      <w:pPr>
        <w:jc w:val="both"/>
        <w:rPr>
          <w:b/>
          <w:bCs/>
        </w:rPr>
      </w:pPr>
      <w:r w:rsidRPr="00606D4C">
        <w:rPr>
          <w:b/>
          <w:bCs/>
        </w:rPr>
        <w:lastRenderedPageBreak/>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8899FF3" w14:textId="2FB75238" w:rsidR="00340CFD" w:rsidRDefault="00340CFD" w:rsidP="00AF24E9">
      <w:pPr>
        <w:jc w:val="both"/>
      </w:pPr>
      <w:proofErr w:type="gramStart"/>
      <w:r>
        <w:t>Coarse-graining</w:t>
      </w:r>
      <w:proofErr w:type="gramEnd"/>
      <w:r>
        <w:t xml:space="preserve"> of filaments </w:t>
      </w:r>
      <w:r>
        <w:sym w:font="Wingdings" w:char="F0E0"/>
      </w:r>
      <w:r>
        <w:t xml:space="preserve"> number of blocks, detailed in Tables XX. </w:t>
      </w:r>
    </w:p>
    <w:p w14:paraId="1FD4D661" w14:textId="37695998" w:rsidR="00340CFD" w:rsidRDefault="00340CFD" w:rsidP="00AF24E9">
      <w:pPr>
        <w:jc w:val="both"/>
      </w:pPr>
      <w:r>
        <w:t xml:space="preserve">Height extracted from density distributions by 1e-05 to best approximate AFM probe touching </w:t>
      </w:r>
      <w:proofErr w:type="gramStart"/>
      <w:r>
        <w:t>brush</w:t>
      </w:r>
      <w:proofErr w:type="gramEnd"/>
    </w:p>
    <w:p w14:paraId="7972EE8D" w14:textId="0A428E9E" w:rsidR="00340CFD" w:rsidRDefault="00340CFD" w:rsidP="00AF24E9">
      <w:pPr>
        <w:jc w:val="both"/>
      </w:pPr>
      <w:r>
        <w:t xml:space="preserve">Both NFL and NFM exhibit classical brush morphologies. Due to the few numbers of </w:t>
      </w:r>
      <w:proofErr w:type="spellStart"/>
      <w:r>
        <w:t>phosphorylatable</w:t>
      </w:r>
      <w:proofErr w:type="spellEnd"/>
      <w:r>
        <w:t xml:space="preserv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w:t>
      </w:r>
      <w:r>
        <w:lastRenderedPageBreak/>
        <w:t>previously predicted for NFH by SJ-SCF (</w:t>
      </w:r>
      <w:proofErr w:type="spellStart"/>
      <w:r>
        <w:t>Zhulina</w:t>
      </w:r>
      <w:proofErr w:type="spellEnd"/>
      <w:r>
        <w:t xml:space="preserve">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w:t>
      </w:r>
      <w:proofErr w:type="spellStart"/>
      <w:r>
        <w:t>pKa</w:t>
      </w:r>
      <w:proofErr w:type="spellEnd"/>
      <w:r>
        <w:t xml:space="preserve"> of the phosphate being </w:t>
      </w:r>
      <w:r w:rsidR="00EF2D64">
        <w:t xml:space="preserve">phosphoserine </w:t>
      </w:r>
      <w:r w:rsidR="00144D1E">
        <w:t xml:space="preserve">5.6, </w:t>
      </w:r>
      <w:proofErr w:type="spellStart"/>
      <w:r w:rsidR="00EF2D64">
        <w:t>phosphothreonine</w:t>
      </w:r>
      <w:proofErr w:type="spellEnd"/>
      <w:r w:rsidR="00EF2D64">
        <w:t xml:space="preserve"> </w:t>
      </w:r>
      <w:r w:rsidR="00144D1E">
        <w:t>5.9 (</w:t>
      </w:r>
      <w:r w:rsidR="00EF2D64">
        <w:t xml:space="preserve">Xie 2005 Anal </w:t>
      </w:r>
      <w:proofErr w:type="spellStart"/>
      <w:r w:rsidR="00EF2D64">
        <w:t>Biochem</w:t>
      </w:r>
      <w:proofErr w:type="spellEnd"/>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w:t>
      </w:r>
      <w:proofErr w:type="spellStart"/>
      <w:r>
        <w:t>pNFH</w:t>
      </w:r>
      <w:proofErr w:type="spellEnd"/>
      <w:r>
        <w:t xml:space="preserve">,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51969"/>
    <w:rsid w:val="003B1D6C"/>
    <w:rsid w:val="004655CA"/>
    <w:rsid w:val="00556DD7"/>
    <w:rsid w:val="005930B3"/>
    <w:rsid w:val="006011DA"/>
    <w:rsid w:val="00606D4C"/>
    <w:rsid w:val="0067356D"/>
    <w:rsid w:val="00675E7D"/>
    <w:rsid w:val="00685DC4"/>
    <w:rsid w:val="00841785"/>
    <w:rsid w:val="00897E24"/>
    <w:rsid w:val="00AF24E9"/>
    <w:rsid w:val="00B80F9F"/>
    <w:rsid w:val="00EF2D64"/>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10</cp:revision>
  <dcterms:created xsi:type="dcterms:W3CDTF">2024-01-24T18:07:00Z</dcterms:created>
  <dcterms:modified xsi:type="dcterms:W3CDTF">2024-01-26T21:54:00Z</dcterms:modified>
</cp:coreProperties>
</file>