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AE822" w14:textId="137DFA84" w:rsidR="00186998" w:rsidRPr="00ED6A08" w:rsidRDefault="00137B9D" w:rsidP="00ED6A08">
      <w:pPr>
        <w:jc w:val="center"/>
        <w:rPr>
          <w:rFonts w:ascii="Times New Roman" w:hAnsi="Times New Roman" w:cs="Times New Roman"/>
          <w:sz w:val="28"/>
          <w:szCs w:val="28"/>
        </w:rPr>
      </w:pPr>
      <w:r w:rsidRPr="00ED6A08">
        <w:rPr>
          <w:rFonts w:ascii="Times New Roman" w:hAnsi="Times New Roman" w:cs="Times New Roman"/>
          <w:sz w:val="28"/>
          <w:szCs w:val="28"/>
        </w:rPr>
        <w:t>Structur</w:t>
      </w:r>
      <w:r w:rsidR="00ED6A08" w:rsidRPr="00ED6A08">
        <w:rPr>
          <w:rFonts w:ascii="Times New Roman" w:hAnsi="Times New Roman" w:cs="Times New Roman"/>
          <w:sz w:val="28"/>
          <w:szCs w:val="28"/>
        </w:rPr>
        <w:t>e and dynamics of polyelectrolyte</w:t>
      </w:r>
    </w:p>
    <w:p w14:paraId="684ED572" w14:textId="335F77AB" w:rsidR="00137B9D" w:rsidRDefault="00137B9D"/>
    <w:p w14:paraId="44171F66" w14:textId="509D5572" w:rsidR="00137B9D" w:rsidRDefault="00137B9D" w:rsidP="00137B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04C">
        <w:rPr>
          <w:rFonts w:ascii="Times New Roman" w:hAnsi="Times New Roman" w:cs="Times New Roman"/>
          <w:sz w:val="24"/>
          <w:szCs w:val="24"/>
        </w:rPr>
        <w:t>Polyelectrolytes (PEs) are polymers with charged repeating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104C">
        <w:rPr>
          <w:rFonts w:ascii="Times New Roman" w:hAnsi="Times New Roman" w:cs="Times New Roman"/>
          <w:sz w:val="24"/>
          <w:szCs w:val="24"/>
        </w:rPr>
        <w:t xml:space="preserve">units which have </w:t>
      </w:r>
      <w:r>
        <w:rPr>
          <w:rFonts w:ascii="Times New Roman" w:hAnsi="Times New Roman" w:cs="Times New Roman"/>
          <w:sz w:val="24"/>
          <w:szCs w:val="24"/>
        </w:rPr>
        <w:t xml:space="preserve">ubiquitous applications, such </w:t>
      </w:r>
      <w:r w:rsidRPr="00EA104C">
        <w:rPr>
          <w:rFonts w:ascii="Times New Roman" w:hAnsi="Times New Roman" w:cs="Times New Roman"/>
          <w:sz w:val="24"/>
          <w:szCs w:val="24"/>
        </w:rPr>
        <w:t>as surfactants in personal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104C">
        <w:rPr>
          <w:rFonts w:ascii="Times New Roman" w:hAnsi="Times New Roman" w:cs="Times New Roman"/>
          <w:sz w:val="24"/>
          <w:szCs w:val="24"/>
        </w:rPr>
        <w:t>care/health products, surface-modifiers in water treatment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104C">
        <w:rPr>
          <w:rFonts w:ascii="Times New Roman" w:hAnsi="Times New Roman" w:cs="Times New Roman"/>
          <w:sz w:val="24"/>
          <w:szCs w:val="24"/>
        </w:rPr>
        <w:t>and oil recovery, additives in foods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A104C">
        <w:rPr>
          <w:rFonts w:ascii="Times New Roman" w:hAnsi="Times New Roman" w:cs="Times New Roman"/>
          <w:sz w:val="24"/>
          <w:szCs w:val="24"/>
        </w:rPr>
        <w:t xml:space="preserve"> superabsorbers in agriculture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104C">
        <w:rPr>
          <w:rFonts w:ascii="Times New Roman" w:hAnsi="Times New Roman" w:cs="Times New Roman"/>
          <w:sz w:val="24"/>
          <w:szCs w:val="24"/>
        </w:rPr>
        <w:t>and sanitation, biomedical materials in implant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104C">
        <w:rPr>
          <w:rFonts w:ascii="Times New Roman" w:hAnsi="Times New Roman" w:cs="Times New Roman"/>
          <w:sz w:val="24"/>
          <w:szCs w:val="24"/>
        </w:rPr>
        <w:t>coating and drug delivery, and electrolytes in lithium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104C">
        <w:rPr>
          <w:rFonts w:ascii="Times New Roman" w:hAnsi="Times New Roman" w:cs="Times New Roman"/>
          <w:sz w:val="24"/>
          <w:szCs w:val="24"/>
        </w:rPr>
        <w:t>batteries.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7893">
        <w:rPr>
          <w:rFonts w:ascii="Times New Roman" w:hAnsi="Times New Roman" w:cs="Times New Roman"/>
          <w:sz w:val="24"/>
          <w:szCs w:val="24"/>
        </w:rPr>
        <w:t>B</w:t>
      </w:r>
      <w:bookmarkStart w:id="0" w:name="_GoBack"/>
      <w:bookmarkEnd w:id="0"/>
      <w:r w:rsidRPr="00EA104C">
        <w:rPr>
          <w:rFonts w:ascii="Times New Roman" w:hAnsi="Times New Roman" w:cs="Times New Roman"/>
          <w:sz w:val="24"/>
          <w:szCs w:val="24"/>
        </w:rPr>
        <w:t>iomacromolecules, like proteins,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104C">
        <w:rPr>
          <w:rFonts w:ascii="Times New Roman" w:hAnsi="Times New Roman" w:cs="Times New Roman"/>
          <w:sz w:val="24"/>
          <w:szCs w:val="24"/>
        </w:rPr>
        <w:t xml:space="preserve">DNA and RNA, are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Pr="00EA104C">
        <w:rPr>
          <w:rFonts w:ascii="Times New Roman" w:hAnsi="Times New Roman" w:cs="Times New Roman"/>
          <w:sz w:val="24"/>
          <w:szCs w:val="24"/>
        </w:rPr>
        <w:t>essentially PEs.</w:t>
      </w:r>
      <w:r>
        <w:rPr>
          <w:rFonts w:ascii="Times New Roman" w:hAnsi="Times New Roman" w:cs="Times New Roman"/>
          <w:sz w:val="24"/>
          <w:szCs w:val="24"/>
        </w:rPr>
        <w:t xml:space="preserve"> Due to t</w:t>
      </w:r>
      <w:r w:rsidRPr="00EA104C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 xml:space="preserve">competition between the short-range van der Waals interaction and the long-range </w:t>
      </w:r>
      <w:r w:rsidRPr="00EA104C">
        <w:rPr>
          <w:rFonts w:ascii="Times New Roman" w:hAnsi="Times New Roman" w:cs="Times New Roman"/>
          <w:sz w:val="24"/>
          <w:szCs w:val="24"/>
        </w:rPr>
        <w:t>electrostatic interaction, PEs exhibit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104C">
        <w:rPr>
          <w:rFonts w:ascii="Times New Roman" w:hAnsi="Times New Roman" w:cs="Times New Roman"/>
          <w:sz w:val="24"/>
          <w:szCs w:val="24"/>
        </w:rPr>
        <w:t>complex structural</w:t>
      </w:r>
      <w:r>
        <w:rPr>
          <w:rFonts w:ascii="Times New Roman" w:hAnsi="Times New Roman" w:cs="Times New Roman"/>
          <w:sz w:val="24"/>
          <w:szCs w:val="24"/>
        </w:rPr>
        <w:t>, interfacial</w:t>
      </w:r>
      <w:r w:rsidRPr="00EA104C">
        <w:rPr>
          <w:rFonts w:ascii="Times New Roman" w:hAnsi="Times New Roman" w:cs="Times New Roman"/>
          <w:sz w:val="24"/>
          <w:szCs w:val="24"/>
        </w:rPr>
        <w:t xml:space="preserve"> and dynamic behaviors.</w:t>
      </w:r>
      <w:r>
        <w:rPr>
          <w:rFonts w:ascii="Times New Roman" w:hAnsi="Times New Roman" w:cs="Times New Roman"/>
          <w:sz w:val="24"/>
          <w:szCs w:val="24"/>
        </w:rPr>
        <w:t xml:space="preserve"> Theoretical modeling of PE systems remains an outstanding challenge. </w:t>
      </w:r>
      <w:r w:rsidR="00867893">
        <w:rPr>
          <w:rFonts w:ascii="Times New Roman" w:hAnsi="Times New Roman" w:cs="Times New Roman"/>
          <w:sz w:val="24"/>
          <w:szCs w:val="24"/>
        </w:rPr>
        <w:t xml:space="preserve">We </w:t>
      </w:r>
      <w:r w:rsidR="00867893">
        <w:rPr>
          <w:rFonts w:ascii="Times New Roman" w:hAnsi="Times New Roman" w:cs="Times New Roman"/>
          <w:sz w:val="24"/>
          <w:szCs w:val="24"/>
        </w:rPr>
        <w:t>developed</w:t>
      </w:r>
      <w:r w:rsidR="00867893">
        <w:rPr>
          <w:rFonts w:ascii="Times New Roman" w:hAnsi="Times New Roman" w:cs="Times New Roman"/>
          <w:sz w:val="24"/>
          <w:szCs w:val="24"/>
        </w:rPr>
        <w:t xml:space="preserve"> a computational platform which combines the field theory and molecular simulation to investigate a variety of structural and dynamic properties of PEs. The theoretical approach systematically include</w:t>
      </w:r>
      <w:r w:rsidR="00867893">
        <w:rPr>
          <w:rFonts w:ascii="Times New Roman" w:hAnsi="Times New Roman" w:cs="Times New Roman"/>
          <w:sz w:val="24"/>
          <w:szCs w:val="24"/>
        </w:rPr>
        <w:t>s</w:t>
      </w:r>
      <w:r w:rsidR="00867893">
        <w:rPr>
          <w:rFonts w:ascii="Times New Roman" w:hAnsi="Times New Roman" w:cs="Times New Roman"/>
          <w:sz w:val="24"/>
          <w:szCs w:val="24"/>
        </w:rPr>
        <w:t xml:space="preserve"> interactions with different effective ranges and self-consistently describe the coupling between the electrostatic interaction and the structural softness of polymers. </w:t>
      </w:r>
      <w:r w:rsidR="00867893">
        <w:rPr>
          <w:rFonts w:ascii="Times New Roman" w:hAnsi="Times New Roman" w:cs="Times New Roman"/>
          <w:sz w:val="24"/>
          <w:szCs w:val="24"/>
        </w:rPr>
        <w:t>With t</w:t>
      </w:r>
      <w:r w:rsidR="00867893">
        <w:rPr>
          <w:rFonts w:ascii="Times New Roman" w:hAnsi="Times New Roman" w:cs="Times New Roman"/>
          <w:sz w:val="24"/>
          <w:szCs w:val="24"/>
        </w:rPr>
        <w:t>his is a powerful tool</w:t>
      </w:r>
      <w:r w:rsidR="00867893">
        <w:rPr>
          <w:rFonts w:ascii="Times New Roman" w:hAnsi="Times New Roman" w:cs="Times New Roman"/>
          <w:sz w:val="24"/>
          <w:szCs w:val="24"/>
        </w:rPr>
        <w:t>, we addressed</w:t>
      </w:r>
      <w:r w:rsidR="00867893">
        <w:rPr>
          <w:rFonts w:ascii="Times New Roman" w:hAnsi="Times New Roman" w:cs="Times New Roman"/>
          <w:sz w:val="24"/>
          <w:szCs w:val="24"/>
        </w:rPr>
        <w:t xml:space="preserve"> several fundamental questions relevant to PEs, i.e. globule to pearl-necklace transition, finite size aggregates, absence of interfacial activity and “slow mode” in diffusion. This is also an ideal platform for exploring the potential applications of PEs in stimuli-responsive materials, energy storage and biomedical materials. Furthermore, the platform provides a fundamental step towards understanding challenges in biological systems, such as folding, binding, adsorption and translocation of proteins.</w:t>
      </w:r>
    </w:p>
    <w:p w14:paraId="707E9B42" w14:textId="4DDADB99" w:rsidR="00137B9D" w:rsidRDefault="00137B9D"/>
    <w:p w14:paraId="60276C73" w14:textId="1AF6BF87" w:rsidR="00867893" w:rsidRDefault="00867893" w:rsidP="00867893">
      <w:pPr>
        <w:jc w:val="center"/>
      </w:pPr>
      <w:r>
        <w:rPr>
          <w:noProof/>
        </w:rPr>
        <w:drawing>
          <wp:inline distT="0" distB="0" distL="0" distR="0" wp14:anchorId="071E6754" wp14:editId="4182E15D">
            <wp:extent cx="3517900" cy="2638425"/>
            <wp:effectExtent l="0" t="0" r="6350" b="952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tics_2020083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556" cy="264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25"/>
    <w:rsid w:val="00137B9D"/>
    <w:rsid w:val="00176325"/>
    <w:rsid w:val="00186998"/>
    <w:rsid w:val="00867893"/>
    <w:rsid w:val="00ED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B54CF"/>
  <w15:chartTrackingRefBased/>
  <w15:docId w15:val="{4880A3D1-BD10-4997-80F4-F661E4CB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Wang</dc:creator>
  <cp:keywords/>
  <dc:description/>
  <cp:lastModifiedBy>Rui Wang</cp:lastModifiedBy>
  <cp:revision>3</cp:revision>
  <dcterms:created xsi:type="dcterms:W3CDTF">2020-09-06T02:30:00Z</dcterms:created>
  <dcterms:modified xsi:type="dcterms:W3CDTF">2020-09-06T03:44:00Z</dcterms:modified>
</cp:coreProperties>
</file>