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6617C9" w14:textId="667DC0B4" w:rsidR="00685DC4" w:rsidRPr="00685DC4" w:rsidRDefault="00685DC4">
      <w:pPr>
        <w:rPr>
          <w:b/>
          <w:bCs/>
        </w:rPr>
      </w:pPr>
      <w:r w:rsidRPr="00685DC4">
        <w:rPr>
          <w:b/>
          <w:bCs/>
        </w:rPr>
        <w:t>NF Draft</w:t>
      </w:r>
    </w:p>
    <w:p w14:paraId="70D72A43" w14:textId="4AD3F3C3" w:rsidR="00685DC4" w:rsidRDefault="00685DC4">
      <w:pPr>
        <w:rPr>
          <w:b/>
          <w:bCs/>
        </w:rPr>
      </w:pPr>
      <w:r w:rsidRPr="00685DC4">
        <w:rPr>
          <w:b/>
          <w:bCs/>
        </w:rPr>
        <w:t>Model and Theory (abbreviated)</w:t>
      </w:r>
    </w:p>
    <w:p w14:paraId="41A1263A" w14:textId="648048CF" w:rsidR="00685DC4" w:rsidRPr="00685DC4" w:rsidRDefault="00685DC4">
      <w:r>
        <w:t xml:space="preserve">To obtain microscopic information of the protein brushes such as monomer density distributions, a </w:t>
      </w:r>
      <w:r w:rsidR="003B1D6C">
        <w:t xml:space="preserve">polyelectrolyte </w:t>
      </w:r>
      <w:r>
        <w:t>continuous-space self-consistent field theory is employed. While</w:t>
      </w:r>
      <w:r w:rsidR="003B1D6C">
        <w:t xml:space="preserve"> the key process is outlined here</w:t>
      </w:r>
      <w:r>
        <w:t xml:space="preserve">, the details can be found in a previous work. </w:t>
      </w:r>
      <w:r w:rsidR="003B1D6C">
        <w:t>In a semicanonical ensemble, t</w:t>
      </w:r>
      <w:r>
        <w:t xml:space="preserve">he constituent proteins are modeled as charged block macromolecules </w:t>
      </w:r>
      <w:r w:rsidR="003B1D6C">
        <w:t>immersed in a monovalent salt solution and grafted upon a non-interacting substrate.</w:t>
      </w:r>
    </w:p>
    <w:p w14:paraId="2D6D82E0" w14:textId="5D4295DA" w:rsidR="00685DC4" w:rsidRPr="00685DC4" w:rsidRDefault="00685DC4">
      <w:pPr>
        <w:rPr>
          <w:b/>
          <w:bCs/>
        </w:rPr>
      </w:pPr>
      <w:r w:rsidRPr="00685DC4">
        <w:rPr>
          <w:b/>
          <w:bCs/>
        </w:rPr>
        <w:t>Results and Discussion</w:t>
      </w:r>
    </w:p>
    <w:p w14:paraId="4BC81479" w14:textId="24D5EE06" w:rsidR="00685DC4" w:rsidRPr="00685DC4" w:rsidRDefault="00685DC4">
      <w:r>
        <w:rPr>
          <w:i/>
          <w:iCs/>
        </w:rPr>
        <w:t>Pure brush</w:t>
      </w:r>
    </w:p>
    <w:p w14:paraId="653AB204" w14:textId="7FF90D9D" w:rsidR="00685DC4" w:rsidRDefault="006011DA">
      <w:r>
        <w:t>sdfsdfsdf</w:t>
      </w:r>
    </w:p>
    <w:p w14:paraId="10668B90" w14:textId="7725215C" w:rsidR="00685DC4" w:rsidRPr="00685DC4" w:rsidRDefault="00685DC4">
      <w:pPr>
        <w:rPr>
          <w:i/>
          <w:iCs/>
        </w:rPr>
      </w:pPr>
      <w:r>
        <w:rPr>
          <w:i/>
          <w:iCs/>
        </w:rPr>
        <w:t>NFH Del2</w:t>
      </w:r>
    </w:p>
    <w:sectPr w:rsidR="00685DC4" w:rsidRPr="00685D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DC4"/>
    <w:rsid w:val="003B1D6C"/>
    <w:rsid w:val="00556DD7"/>
    <w:rsid w:val="006011DA"/>
    <w:rsid w:val="00685DC4"/>
    <w:rsid w:val="00FE7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0A0364"/>
  <w15:chartTrackingRefBased/>
  <w15:docId w15:val="{09D90756-5A2D-4A74-B54F-CA136580B0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5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5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5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5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5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5D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5D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5D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5D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5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5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5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5D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5D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5D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5D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5D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5D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5D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5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5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5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5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5D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5D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5D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5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5D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5D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</Pages>
  <Words>79</Words>
  <Characters>455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Takashi Yokokura</dc:creator>
  <cp:keywords/>
  <dc:description/>
  <cp:lastModifiedBy>Takashi Yokokura</cp:lastModifiedBy>
  <cp:revision>2</cp:revision>
  <dcterms:created xsi:type="dcterms:W3CDTF">2024-01-24T18:07:00Z</dcterms:created>
  <dcterms:modified xsi:type="dcterms:W3CDTF">2024-01-26T19:30:00Z</dcterms:modified>
</cp:coreProperties>
</file>