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C276D">
      <w:pPr>
        <w:bidi w:val="0"/>
        <w:spacing w:line="360" w:lineRule="auto"/>
        <w:ind w:left="0" w:righ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МИНОБРНАУКИ РОССИИ</w:t>
      </w:r>
    </w:p>
    <w:p w14:paraId="133F1029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Санкт-Петербургский государственный</w:t>
      </w:r>
    </w:p>
    <w:p w14:paraId="704E4DEC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электротехнический университет</w:t>
      </w:r>
    </w:p>
    <w:p w14:paraId="07BA4B47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«ЛЭТИ» им. В.И. Ульянова (Ленина)</w:t>
      </w:r>
    </w:p>
    <w:p w14:paraId="0E8AE161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Кафедра МО ЭВМ</w:t>
      </w:r>
    </w:p>
    <w:p w14:paraId="5D52FB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F095738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F734B0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BBB230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8E93223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813F5F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59BCB7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3C88F17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</w:t>
      </w:r>
    </w:p>
    <w:p w14:paraId="27B4F8EC">
      <w:pPr>
        <w:pStyle w:val="2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Cs/>
          <w:color w:val="auto"/>
        </w:rPr>
        <w:t>по дисциплине «</w:t>
      </w:r>
      <w:r>
        <w:rPr>
          <w:rFonts w:hint="default" w:ascii="Times New Roman" w:hAnsi="Times New Roman" w:cs="Times New Roman"/>
          <w:bCs/>
          <w:color w:val="auto"/>
          <w:lang w:val="ru-RU"/>
        </w:rPr>
        <w:t>Введение в машинное обучение</w:t>
      </w:r>
      <w:r>
        <w:rPr>
          <w:rFonts w:hint="default" w:ascii="Times New Roman" w:hAnsi="Times New Roman" w:cs="Times New Roman"/>
          <w:bCs/>
          <w:color w:val="auto"/>
        </w:rPr>
        <w:t>»</w:t>
      </w:r>
    </w:p>
    <w:p w14:paraId="4E64253D">
      <w:pPr>
        <w:pStyle w:val="2"/>
        <w:bidi w:val="0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</w:rPr>
        <w:t>Тема: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 </w:t>
      </w:r>
      <w:r>
        <w:rPr>
          <w:rFonts w:hint="default" w:ascii="Times New Roman" w:hAnsi="Times New Roman"/>
          <w:color w:val="auto"/>
          <w:lang w:val="ru-RU"/>
        </w:rPr>
        <w:t>Изучение и предобработка данных.</w:t>
      </w:r>
    </w:p>
    <w:p w14:paraId="5CFE9EE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2EF07D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85780B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A9E03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2"/>
        <w:gridCol w:w="3355"/>
        <w:gridCol w:w="2898"/>
      </w:tblGrid>
      <w:tr w14:paraId="3FBB9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523" w:type="dxa"/>
            <w:vAlign w:val="bottom"/>
          </w:tcPr>
          <w:p w14:paraId="3A23969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Студент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ка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гр. 338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4</w:t>
            </w:r>
          </w:p>
        </w:tc>
        <w:tc>
          <w:tcPr>
            <w:tcW w:w="3281" w:type="dxa"/>
            <w:tcBorders>
              <w:bottom w:val="single" w:color="000000" w:sz="4" w:space="0"/>
            </w:tcBorders>
            <w:vAlign w:val="bottom"/>
          </w:tcPr>
          <w:p w14:paraId="4724F4C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711B9C8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Копасова К. А.</w:t>
            </w:r>
          </w:p>
        </w:tc>
      </w:tr>
      <w:tr w14:paraId="2EBE8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523" w:type="dxa"/>
            <w:vAlign w:val="bottom"/>
          </w:tcPr>
          <w:p w14:paraId="63491A3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Преподаватель</w:t>
            </w:r>
          </w:p>
        </w:tc>
        <w:tc>
          <w:tcPr>
            <w:tcW w:w="3281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61166E8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01D68DD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Жангиров Т. Р.</w:t>
            </w:r>
          </w:p>
        </w:tc>
      </w:tr>
    </w:tbl>
    <w:p w14:paraId="3CBE346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6C244A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A8222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DAC7088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F7A5AE0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7ADF64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Санкт-Петербург</w:t>
      </w:r>
    </w:p>
    <w:p w14:paraId="1B76075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ru-RU"/>
        </w:rPr>
        <w:sectPr>
          <w:pgSz w:w="11906" w:h="16838"/>
          <w:pgMar w:top="1134" w:right="1134" w:bottom="1134" w:left="1134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formProt w:val="0"/>
          <w:docGrid w:linePitch="100" w:charSpace="0"/>
        </w:sect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</w:p>
    <w:p w14:paraId="4F39B25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7"/>
          <w:rFonts w:hint="default"/>
          <w:lang w:val="ru-RU"/>
        </w:rPr>
      </w:pPr>
      <w:r>
        <w:rPr>
          <w:rStyle w:val="30"/>
          <w:rFonts w:hint="default" w:ascii="Times New Roman" w:hAnsi="Times New Roman" w:cs="Times New Roman"/>
        </w:rPr>
        <w:t>Цель работы</w:t>
      </w:r>
      <w:r>
        <w:rPr>
          <w:rStyle w:val="30"/>
          <w:rFonts w:hint="default" w:ascii="Times New Roman" w:hAnsi="Times New Roman" w:cs="Times New Roman"/>
          <w:lang w:val="ru-RU"/>
        </w:rPr>
        <w:t xml:space="preserve">: </w:t>
      </w:r>
      <w:r>
        <w:rPr>
          <w:rStyle w:val="30"/>
          <w:rFonts w:hint="default" w:ascii="Times New Roman" w:hAnsi="Times New Roman" w:cs="Times New Roman"/>
          <w:b w:val="0"/>
          <w:bCs/>
          <w:lang w:val="ru-RU"/>
        </w:rPr>
        <w:t xml:space="preserve">Изучить предобработку данных с использованием </w:t>
      </w:r>
      <w:r>
        <w:rPr>
          <w:rStyle w:val="30"/>
          <w:rFonts w:hint="default" w:ascii="Times New Roman" w:hAnsi="Times New Roman" w:cs="Times New Roman"/>
          <w:b w:val="0"/>
          <w:bCs/>
          <w:lang w:val="en-US"/>
        </w:rPr>
        <w:t>python</w:t>
      </w:r>
      <w:r>
        <w:rPr>
          <w:rStyle w:val="30"/>
          <w:rFonts w:hint="default" w:ascii="Times New Roman" w:hAnsi="Times New Roman" w:cs="Times New Roman"/>
          <w:b w:val="0"/>
          <w:bCs/>
          <w:lang w:val="ru-RU"/>
        </w:rPr>
        <w:t xml:space="preserve"> библиотек </w:t>
      </w:r>
      <w:r>
        <w:rPr>
          <w:rStyle w:val="30"/>
          <w:rFonts w:hint="default" w:ascii="Times New Roman" w:hAnsi="Times New Roman"/>
          <w:b w:val="0"/>
          <w:bCs/>
          <w:lang w:val="ru-RU"/>
        </w:rPr>
        <w:t>Pandas, Seaborn и NumPy.</w:t>
      </w:r>
    </w:p>
    <w:p w14:paraId="78BC8151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cs="Times New Roman"/>
          <w:b w:val="0"/>
          <w:bCs w:val="0"/>
          <w:color w:val="auto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</w:rPr>
        <w:t>Задание</w:t>
      </w:r>
      <w:r>
        <w:rPr>
          <w:rFonts w:hint="default" w:cs="Times New Roman"/>
          <w:b/>
          <w:bCs/>
          <w:color w:val="auto"/>
          <w:lang w:val="ru-RU"/>
        </w:rPr>
        <w:t xml:space="preserve">: </w:t>
      </w:r>
      <w:r>
        <w:rPr>
          <w:rFonts w:hint="default"/>
          <w:i w:val="0"/>
          <w:iCs w:val="0"/>
          <w:lang w:val="ru-RU"/>
        </w:rPr>
        <w:t>Вариант 5</w:t>
      </w:r>
      <w:r>
        <w:rPr>
          <w:rFonts w:hint="default"/>
          <w:i w:val="0"/>
          <w:iCs w:val="0"/>
          <w:lang w:val="en-US"/>
        </w:rPr>
        <w:t xml:space="preserve"> - lab1_var5.csv.</w:t>
      </w:r>
    </w:p>
    <w:p w14:paraId="5B5406C2">
      <w:pPr>
        <w:pStyle w:val="28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Изучение набора данных с использованием Pandas и Seaborn:</w:t>
      </w:r>
    </w:p>
    <w:p w14:paraId="6A9241A2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1.1. Загрузить данные из файла как Pandas DataFrame</w:t>
      </w:r>
    </w:p>
    <w:p w14:paraId="520EB39C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1.2. Вызвав  у датафрейма метод head, проверить корректность загруженных данных</w:t>
      </w:r>
      <w:r>
        <w:rPr>
          <w:rFonts w:hint="default"/>
          <w:lang w:val="en-US"/>
        </w:rPr>
        <w:t>.</w:t>
      </w:r>
    </w:p>
    <w:p w14:paraId="017B64D1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1.3. Вызвав  у датафрейма метод describe, получить характеристики. Опишите полученный результат. </w:t>
      </w:r>
    </w:p>
    <w:p w14:paraId="5BBB28E0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1.4. Видоизмените полученный датафрейм таким образом, чтобы метка классов были следующими: Class1, Class2 и т.д.. Сохраните полученный датафрейм в отдельный файл формата csv.</w:t>
      </w:r>
    </w:p>
    <w:p w14:paraId="370B8639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1.5. Визуально оцените набор данных, построив изображение, содержащее графики ядерной оценки плотности каждого признака (кроме признака названия/ номера класса), диаграмму рассеяния и двумерную ядерную оценку плотности для каждых признаков. Наблюдения разных классов должны быть выделены отдельным цветом (рекомендуемая палитра ‘tab10’ или ‘Set1’). Пример построения: https://seaborn.pydata.org/examples/pair_grid_with_kde.html . Опишите полученный график, что на нем изображено, какие выводы о данных можно сделать. </w:t>
      </w:r>
    </w:p>
    <w:p w14:paraId="3FCA19F2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1.6. На одном изображении постройте гистограммы распределения для каждого признака (для построения нескольких диаграмм на одном изображении, необходимо создать subplot из matplotlib, и для каждой диаграммы задать параметр ax, указав нужную ячейку. subplot возвращает два параметра: саму фигуру с изображением и список ячеек. Например, изображение с 4 ячейками записанных в ряд: fig, axs = plt.subplots(1,4). Указание ячейки в параметре диаграммы делается следующим образом: ax=axs[0]). Затем последовательно модифицируйте изображение</w:t>
      </w:r>
      <w:r>
        <w:rPr>
          <w:rFonts w:hint="default"/>
          <w:lang w:val="en-US"/>
        </w:rPr>
        <w:t>.</w:t>
      </w:r>
    </w:p>
    <w:p w14:paraId="65258C50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1.6.1. Постройте гистограммы для разного количества столбцов: 5,10,15,20,30. Выберите на ваш взгляд такое количество столбцов, который лучшие образом описывает форму распределения признаков.</w:t>
      </w:r>
    </w:p>
    <w:p w14:paraId="0468A54F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1.6.2. Сделайте на каждой гистограмме разделение по цвету согласно классу. Проведите это в двух режимах, когда гистограммы накладываются/суммируются и когда пересекаются. Далее используйте режим с пересечением.</w:t>
      </w:r>
    </w:p>
    <w:p w14:paraId="28667F5C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1.7. Постройте гистограммы, чтобы вместо столбцов изображались ступеньки.</w:t>
      </w:r>
    </w:p>
    <w:p w14:paraId="60602100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1.8. Добавьте на гистограммы график ядерной оценки плотности.</w:t>
      </w:r>
    </w:p>
    <w:p w14:paraId="441E958B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 Изучение набора данных с использованием NumPy:</w:t>
      </w:r>
    </w:p>
    <w:p w14:paraId="13FD3A49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2.1. Загрузите данные из файла как массив NumPy</w:t>
      </w:r>
      <w:r>
        <w:rPr>
          <w:rFonts w:hint="default"/>
          <w:lang w:val="en-US"/>
        </w:rPr>
        <w:t>.</w:t>
      </w:r>
    </w:p>
    <w:p w14:paraId="048164D4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2.2. Выведите первые 10 наблюдений набора данных.</w:t>
      </w:r>
    </w:p>
    <w:p w14:paraId="3F092297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2.3. Рассчитайте характеристики полученные методом describe в п. 1.3 с использованием методов NumPy. Обращайте внимание на то, где оценка смещенная, а где нет.</w:t>
      </w:r>
    </w:p>
    <w:p w14:paraId="697DBABA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 Преобразование данных:</w:t>
      </w:r>
    </w:p>
    <w:p w14:paraId="74E1DD2C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3.1. Получите из датафрейма из п. 1.4 столбец с названием классов. Используя LabelEncoder и OneHotEncoder получите различные способы кодирования меток класса. В чем различия полученных кодировок?</w:t>
      </w:r>
    </w:p>
    <w:p w14:paraId="75EA6D99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3.2. Для датафрейма из п. 1.4, получите все столбцы признаков (столбцы не содержащие метки классов). Преобразуйте полученные столбцы в массив NumPy. </w:t>
      </w:r>
    </w:p>
    <w:p w14:paraId="45575341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3.3. Для массива NumPy из п. 3.2 примените StandardScaler, MinMaxScaler, MaxAbsScaler и RobustScaler. Для каждого из результатов постройте гистограммы по каждому признаку без разделения по классам. В чем различия между такими преобразованиями данных? Какая трансформация подходит лучше всего под ваш датасет?</w:t>
      </w:r>
    </w:p>
    <w:p w14:paraId="456BC21C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4. Понижение размерности:</w:t>
      </w:r>
    </w:p>
    <w:p w14:paraId="5DBE939A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4.1. Для набора данных примените понижение размерности, используя PCA и TSNE из Sklearn. Для PCA оцените необходимое количество компонент для сохранения информации ~90%. Для каждого из результатов постройте диаграмму рассеяния с выделением разным цветом наблюдений разных классов. Объясните полученные результаты.</w:t>
      </w:r>
    </w:p>
    <w:p w14:paraId="3641227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</w:p>
    <w:p w14:paraId="336616F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</w:rPr>
      </w:pPr>
      <w:r>
        <w:rPr>
          <w:rFonts w:hint="default"/>
        </w:rPr>
        <w:br w:type="page"/>
      </w:r>
    </w:p>
    <w:p w14:paraId="378FE9FD">
      <w:pPr>
        <w:pStyle w:val="4"/>
        <w:bidi w:val="0"/>
        <w:spacing w:before="0" w:after="120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Выполнение работы</w:t>
      </w:r>
    </w:p>
    <w:p w14:paraId="3D149CA4">
      <w:pPr>
        <w:pStyle w:val="28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color w:val="auto"/>
        </w:rPr>
        <w:t>Изучение набора данных с использованием Pandas и Seaborn:</w:t>
      </w:r>
    </w:p>
    <w:p w14:paraId="2C66DE36">
      <w:pPr>
        <w:pStyle w:val="2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Загрузка данных из файла как Pandas DataFrame</w:t>
      </w:r>
    </w:p>
    <w:p w14:paraId="02C5B5D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Для </w:t>
      </w:r>
      <w:r>
        <w:rPr>
          <w:rFonts w:hint="default"/>
          <w:color w:val="auto"/>
          <w:lang w:val="en-US"/>
        </w:rPr>
        <w:t>загрузки</w:t>
      </w:r>
      <w:r>
        <w:rPr>
          <w:rFonts w:hint="default"/>
          <w:color w:val="auto"/>
          <w:lang w:val="ru-RU"/>
        </w:rPr>
        <w:t xml:space="preserve"> данных </w:t>
      </w:r>
      <w:r>
        <w:rPr>
          <w:rFonts w:hint="default"/>
          <w:color w:val="auto"/>
          <w:lang w:val="en-US"/>
        </w:rPr>
        <w:t>использована</w:t>
      </w:r>
      <w:r>
        <w:rPr>
          <w:rFonts w:hint="default"/>
          <w:color w:val="auto"/>
          <w:lang w:val="ru-RU"/>
        </w:rPr>
        <w:t xml:space="preserve"> функция </w:t>
      </w:r>
      <w:r>
        <w:rPr>
          <w:rFonts w:hint="default"/>
          <w:color w:val="auto"/>
          <w:lang w:val="en-US"/>
        </w:rPr>
        <w:t xml:space="preserve">read_csv() </w:t>
      </w:r>
      <w:r>
        <w:rPr>
          <w:rFonts w:hint="default"/>
          <w:color w:val="auto"/>
          <w:lang w:val="ru-RU"/>
        </w:rPr>
        <w:t xml:space="preserve">библиотеки </w:t>
      </w:r>
      <w:r>
        <w:rPr>
          <w:rFonts w:hint="default"/>
          <w:color w:val="auto"/>
          <w:lang w:val="en-US"/>
        </w:rPr>
        <w:t>Pandas:</w:t>
      </w:r>
    </w:p>
    <w:p w14:paraId="0348A3F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import pandas</w:t>
      </w:r>
    </w:p>
    <w:p w14:paraId="7A4E32E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data_pandas = pandas.read_csv('lab1_var5.csv')</w:t>
      </w:r>
    </w:p>
    <w:p w14:paraId="41E8FFE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50F284B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Функция </w:t>
      </w:r>
      <w:r>
        <w:rPr>
          <w:rFonts w:hint="default" w:cs="Times New Roman"/>
          <w:color w:val="auto"/>
          <w:lang w:val="en-US"/>
        </w:rPr>
        <w:t xml:space="preserve">read_csv() </w:t>
      </w:r>
      <w:r>
        <w:rPr>
          <w:rFonts w:hint="default" w:cs="Times New Roman"/>
          <w:color w:val="auto"/>
          <w:lang w:val="ru-RU"/>
        </w:rPr>
        <w:t xml:space="preserve">автоматически определяет разделитель (запятая), считывает заголовки столбцов из первой строки файла и создает </w:t>
      </w:r>
      <w:r>
        <w:rPr>
          <w:rFonts w:hint="default" w:cs="Times New Roman"/>
          <w:color w:val="auto"/>
          <w:lang w:val="en-US"/>
        </w:rPr>
        <w:t xml:space="preserve">DataFrame - </w:t>
      </w:r>
      <w:r>
        <w:rPr>
          <w:rFonts w:hint="default" w:cs="Times New Roman"/>
          <w:color w:val="auto"/>
          <w:lang w:val="ru-RU"/>
        </w:rPr>
        <w:t>табличную структуру данных с индексацией строк</w:t>
      </w:r>
      <w:r>
        <w:rPr>
          <w:rFonts w:hint="default" w:cs="Times New Roman"/>
          <w:color w:val="auto"/>
          <w:lang w:val="en-US"/>
        </w:rPr>
        <w:t>.</w:t>
      </w:r>
    </w:p>
    <w:p w14:paraId="149A7572">
      <w:pPr>
        <w:pStyle w:val="2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none"/>
          <w:lang w:val="ru-RU"/>
        </w:rPr>
      </w:pPr>
      <w:r>
        <w:rPr>
          <w:rFonts w:hint="default" w:cs="Times New Roman"/>
          <w:i/>
          <w:iCs/>
          <w:color w:val="auto"/>
          <w:u w:val="none"/>
          <w:lang w:val="ru-RU"/>
        </w:rPr>
        <w:t xml:space="preserve">Проверка корректности загруженных данных методом </w:t>
      </w:r>
      <w:r>
        <w:rPr>
          <w:rFonts w:hint="default" w:cs="Times New Roman"/>
          <w:i/>
          <w:iCs/>
          <w:color w:val="auto"/>
          <w:u w:val="none"/>
          <w:lang w:val="en-US"/>
        </w:rPr>
        <w:t>head()</w:t>
      </w:r>
    </w:p>
    <w:p w14:paraId="0FD1335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print(data_pandas.head())</w:t>
      </w:r>
    </w:p>
    <w:p w14:paraId="4749BB7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2C00F73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Метод </w:t>
      </w:r>
      <w:r>
        <w:rPr>
          <w:rFonts w:hint="default" w:cs="Times New Roman"/>
          <w:color w:val="auto"/>
          <w:lang w:val="en-US"/>
        </w:rPr>
        <w:t xml:space="preserve">head() </w:t>
      </w:r>
      <w:r>
        <w:rPr>
          <w:rFonts w:hint="default" w:cs="Times New Roman"/>
          <w:color w:val="auto"/>
          <w:lang w:val="ru-RU"/>
        </w:rPr>
        <w:t>вывел первые 5 строк датасета (см. рис. 1.1)</w:t>
      </w:r>
      <w:r>
        <w:rPr>
          <w:rFonts w:hint="default" w:cs="Times New Roman"/>
          <w:color w:val="auto"/>
          <w:lang w:val="en-US"/>
        </w:rPr>
        <w:t>.</w:t>
      </w:r>
    </w:p>
    <w:p w14:paraId="3D1DC0E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3444240" cy="684530"/>
            <wp:effectExtent l="0" t="0" r="0" b="1270"/>
            <wp:docPr id="6" name="Изображение 6" descr="ри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рис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ACB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1.1 - Проверка корректности загруженных данных.</w:t>
      </w:r>
    </w:p>
    <w:p w14:paraId="52C36ED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</w:p>
    <w:p w14:paraId="15E0AF9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Вывод подтвердил корректность загрузки: присутствуют 7 столбцов (</w:t>
      </w:r>
      <w:r>
        <w:rPr>
          <w:rFonts w:hint="default" w:cs="Times New Roman"/>
          <w:color w:val="auto"/>
          <w:lang w:val="en-US"/>
        </w:rPr>
        <w:t>Unnamed: 0, Var1-Var5, Label</w:t>
      </w:r>
      <w:r>
        <w:rPr>
          <w:rFonts w:hint="default" w:cs="Times New Roman"/>
          <w:color w:val="auto"/>
          <w:lang w:val="ru-RU"/>
        </w:rPr>
        <w:t>)</w:t>
      </w:r>
      <w:r>
        <w:rPr>
          <w:rFonts w:hint="default" w:cs="Times New Roman"/>
          <w:color w:val="auto"/>
          <w:lang w:val="en-US"/>
        </w:rPr>
        <w:t xml:space="preserve">, </w:t>
      </w:r>
      <w:r>
        <w:rPr>
          <w:rFonts w:hint="default" w:cs="Times New Roman"/>
          <w:color w:val="auto"/>
          <w:lang w:val="ru-RU"/>
        </w:rPr>
        <w:t>данные числовые.</w:t>
      </w:r>
    </w:p>
    <w:p w14:paraId="60A0D58E">
      <w:pPr>
        <w:pStyle w:val="2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Получение характеристик методом describe()</w:t>
      </w:r>
    </w:p>
    <w:p w14:paraId="4BAE36C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print(data_pandas.describe())</w:t>
      </w:r>
    </w:p>
    <w:p w14:paraId="1FA3175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23F6CC2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Метод </w:t>
      </w:r>
      <w:r>
        <w:rPr>
          <w:rFonts w:hint="default" w:ascii="Times New Roman" w:hAnsi="Times New Roman"/>
          <w:color w:val="auto"/>
        </w:rPr>
        <w:t>describe</w:t>
      </w:r>
      <w:r>
        <w:rPr>
          <w:rFonts w:hint="default" w:cs="Times New Roman"/>
          <w:color w:val="auto"/>
          <w:lang w:val="en-US"/>
        </w:rPr>
        <w:t xml:space="preserve">() </w:t>
      </w:r>
      <w:r>
        <w:rPr>
          <w:rFonts w:hint="default" w:cs="Times New Roman"/>
          <w:color w:val="auto"/>
          <w:lang w:val="ru-RU"/>
        </w:rPr>
        <w:t xml:space="preserve">содержит следующие характеристики: </w:t>
      </w:r>
      <w:r>
        <w:rPr>
          <w:rFonts w:hint="default" w:cs="Times New Roman"/>
          <w:color w:val="auto"/>
          <w:lang w:val="en-US"/>
        </w:rPr>
        <w:t>count (</w:t>
      </w:r>
      <w:r>
        <w:rPr>
          <w:rFonts w:hint="default" w:cs="Times New Roman"/>
          <w:color w:val="auto"/>
          <w:lang w:val="ru-RU"/>
        </w:rPr>
        <w:t>количество записей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, </w:t>
      </w:r>
      <w:r>
        <w:rPr>
          <w:rFonts w:hint="default" w:cs="Times New Roman"/>
          <w:color w:val="auto"/>
          <w:lang w:val="en-US"/>
        </w:rPr>
        <w:t xml:space="preserve">mean </w:t>
      </w:r>
      <w:r>
        <w:rPr>
          <w:rFonts w:hint="default" w:cs="Times New Roman"/>
          <w:color w:val="auto"/>
          <w:lang w:val="ru-RU"/>
        </w:rPr>
        <w:t xml:space="preserve">(среднее значение), </w:t>
      </w:r>
      <w:r>
        <w:rPr>
          <w:rFonts w:hint="default" w:cs="Times New Roman"/>
          <w:color w:val="auto"/>
          <w:lang w:val="en-US"/>
        </w:rPr>
        <w:t>std (</w:t>
      </w:r>
      <w:r>
        <w:rPr>
          <w:rFonts w:hint="default" w:cs="Times New Roman"/>
          <w:color w:val="auto"/>
          <w:lang w:val="ru-RU"/>
        </w:rPr>
        <w:t>стандартное отклонение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, </w:t>
      </w:r>
      <w:r>
        <w:rPr>
          <w:rFonts w:hint="default" w:cs="Times New Roman"/>
          <w:color w:val="auto"/>
          <w:lang w:val="en-US"/>
        </w:rPr>
        <w:t>min (</w:t>
      </w:r>
      <w:r>
        <w:rPr>
          <w:rFonts w:hint="default" w:cs="Times New Roman"/>
          <w:color w:val="auto"/>
          <w:lang w:val="ru-RU"/>
        </w:rPr>
        <w:t>минимальное значение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, </w:t>
      </w:r>
      <w:r>
        <w:rPr>
          <w:rFonts w:hint="default" w:cs="Times New Roman"/>
          <w:color w:val="auto"/>
          <w:lang w:val="en-US"/>
        </w:rPr>
        <w:t>25% (</w:t>
      </w:r>
      <w:r>
        <w:rPr>
          <w:rFonts w:hint="default" w:cs="Times New Roman"/>
          <w:color w:val="auto"/>
          <w:lang w:val="ru-RU"/>
        </w:rPr>
        <w:t>первый квартиль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, </w:t>
      </w:r>
      <w:r>
        <w:rPr>
          <w:rFonts w:hint="default" w:cs="Times New Roman"/>
          <w:color w:val="auto"/>
          <w:lang w:val="en-US"/>
        </w:rPr>
        <w:t>50% (</w:t>
      </w:r>
      <w:r>
        <w:rPr>
          <w:rFonts w:hint="default" w:cs="Times New Roman"/>
          <w:color w:val="auto"/>
          <w:lang w:val="ru-RU"/>
        </w:rPr>
        <w:t>медиана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, </w:t>
      </w:r>
      <w:r>
        <w:rPr>
          <w:rFonts w:hint="default" w:cs="Times New Roman"/>
          <w:color w:val="auto"/>
          <w:lang w:val="en-US"/>
        </w:rPr>
        <w:t>75% (</w:t>
      </w:r>
      <w:r>
        <w:rPr>
          <w:rFonts w:hint="default" w:cs="Times New Roman"/>
          <w:color w:val="auto"/>
          <w:lang w:val="ru-RU"/>
        </w:rPr>
        <w:t>третий квартиль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 и </w:t>
      </w:r>
      <w:r>
        <w:rPr>
          <w:rFonts w:hint="default" w:cs="Times New Roman"/>
          <w:color w:val="auto"/>
          <w:lang w:val="en-US"/>
        </w:rPr>
        <w:t>max (</w:t>
      </w:r>
      <w:r>
        <w:rPr>
          <w:rFonts w:hint="default" w:cs="Times New Roman"/>
          <w:color w:val="auto"/>
          <w:lang w:val="ru-RU"/>
        </w:rPr>
        <w:t xml:space="preserve">максимальное значение). Результат работы метода показан на рис. </w:t>
      </w:r>
      <w:r>
        <w:rPr>
          <w:rFonts w:hint="default" w:cs="Times New Roman"/>
          <w:color w:val="auto"/>
          <w:lang w:val="en-US"/>
        </w:rPr>
        <w:t>1.</w:t>
      </w:r>
      <w:r>
        <w:rPr>
          <w:rFonts w:hint="default" w:cs="Times New Roman"/>
          <w:color w:val="auto"/>
          <w:lang w:val="ru-RU"/>
        </w:rPr>
        <w:t>2.</w:t>
      </w:r>
    </w:p>
    <w:p w14:paraId="61D5313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932430" cy="1701800"/>
            <wp:effectExtent l="0" t="0" r="8890" b="5080"/>
            <wp:docPr id="7" name="Изображение 7" descr="ри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рис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426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1.2 - Использование метода </w:t>
      </w:r>
      <w:r>
        <w:rPr>
          <w:rFonts w:hint="default" w:cs="Times New Roman"/>
          <w:color w:val="auto"/>
          <w:lang w:val="en-US"/>
        </w:rPr>
        <w:t>describe()</w:t>
      </w:r>
      <w:r>
        <w:rPr>
          <w:rFonts w:hint="default" w:cs="Times New Roman"/>
          <w:color w:val="auto"/>
          <w:lang w:val="ru-RU"/>
        </w:rPr>
        <w:t>.</w:t>
      </w:r>
    </w:p>
    <w:p w14:paraId="3C995D6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</w:p>
    <w:p w14:paraId="0E3142D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Получаем следующий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результат:</w:t>
      </w:r>
    </w:p>
    <w:p w14:paraId="64047B57">
      <w:pPr>
        <w:pStyle w:val="2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Датасет содержит 700 наблюдений, пропусков нет.</w:t>
      </w:r>
    </w:p>
    <w:p w14:paraId="087E708D">
      <w:pPr>
        <w:pStyle w:val="2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Столбец Unnamed: 0 содержит индексы объектов (0–699), не является признаком.</w:t>
      </w:r>
    </w:p>
    <w:p w14:paraId="2F7B5526">
      <w:pPr>
        <w:pStyle w:val="2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Признаки Var1-Var5 имеют разные диапазоны значений и стандартные отклонения: наименьший разброс у Var4 (std=0.57), наибольший - у Var5 (std=2.22).</w:t>
      </w:r>
    </w:p>
    <w:p w14:paraId="17524714">
      <w:pPr>
        <w:pStyle w:val="2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Целевая переменная Label принимает значения 0, 1, 2, что указывает на задачу многоклассовой классификации с тремя классами.</w:t>
      </w:r>
    </w:p>
    <w:p w14:paraId="187254FC">
      <w:pPr>
        <w:pStyle w:val="2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Распределение классов неравномерное: медиана равна 1, что говорит о преобладании второго класса.</w:t>
      </w:r>
    </w:p>
    <w:p w14:paraId="6213E9A3">
      <w:pPr>
        <w:pStyle w:val="2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/>
          <w:i/>
          <w:iCs/>
          <w:color w:val="auto"/>
          <w:lang w:val="ru-RU"/>
        </w:rPr>
        <w:t>Изменение и сохранение датафрейма</w:t>
      </w:r>
    </w:p>
    <w:p w14:paraId="2280F17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data_pandas['Label'] = 'Class' + (data_pandas['Label'].astype(int) + 1).astype(str)</w:t>
      </w:r>
    </w:p>
    <w:p w14:paraId="3278E02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data_pandas.to_csv('lab1_var5_with_class.csv', index=False)</w:t>
      </w:r>
    </w:p>
    <w:p w14:paraId="72A34FF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6814495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Числовые метрики (0, 1, 2) преобразованы в строковые значения </w:t>
      </w:r>
      <w:r>
        <w:rPr>
          <w:rFonts w:hint="default" w:cs="Times New Roman"/>
          <w:color w:val="auto"/>
          <w:lang w:val="en-US"/>
        </w:rPr>
        <w:t>Class1, Class2, Class3</w:t>
      </w:r>
      <w:r>
        <w:rPr>
          <w:rFonts w:hint="default" w:cs="Times New Roman"/>
          <w:color w:val="auto"/>
          <w:lang w:val="ru-RU"/>
        </w:rPr>
        <w:t xml:space="preserve">. С помощью метода </w:t>
      </w:r>
      <w:r>
        <w:rPr>
          <w:rFonts w:hint="default" w:cs="Times New Roman"/>
          <w:color w:val="auto"/>
          <w:lang w:val="en-US"/>
        </w:rPr>
        <w:t xml:space="preserve">to_csv() </w:t>
      </w:r>
      <w:r>
        <w:rPr>
          <w:rFonts w:hint="default" w:cs="Times New Roman"/>
          <w:color w:val="auto"/>
          <w:lang w:val="ru-RU"/>
        </w:rPr>
        <w:t xml:space="preserve">обновленные данные были загружены в файл </w:t>
      </w:r>
      <w:r>
        <w:rPr>
          <w:rFonts w:hint="default" w:cs="Times New Roman"/>
          <w:color w:val="auto"/>
          <w:lang w:val="en-US"/>
        </w:rPr>
        <w:t>lab1_var5_with_class.csv (</w:t>
      </w:r>
      <w:r>
        <w:rPr>
          <w:rFonts w:hint="default" w:cs="Times New Roman"/>
          <w:color w:val="auto"/>
          <w:lang w:val="ru-RU"/>
        </w:rPr>
        <w:t xml:space="preserve">параметр </w:t>
      </w:r>
      <w:r>
        <w:rPr>
          <w:rFonts w:hint="default" w:cs="Times New Roman"/>
          <w:color w:val="auto"/>
          <w:lang w:val="en-US"/>
        </w:rPr>
        <w:t xml:space="preserve">index=False </w:t>
      </w:r>
      <w:r>
        <w:rPr>
          <w:rFonts w:hint="default" w:cs="Times New Roman"/>
          <w:color w:val="auto"/>
          <w:lang w:val="ru-RU"/>
        </w:rPr>
        <w:t>предотвращает сохранение индекса в файл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>.</w:t>
      </w:r>
    </w:p>
    <w:p w14:paraId="696B07A0">
      <w:pPr>
        <w:pStyle w:val="2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Визуальная оценка данных: KDE, scatter plot, pair plot</w:t>
      </w:r>
    </w:p>
    <w:p w14:paraId="0BBF757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/>
          <w:i w:val="0"/>
          <w:iCs w:val="0"/>
          <w:color w:val="auto"/>
          <w:lang w:val="ru-RU"/>
        </w:rPr>
        <w:t>Для визуального анализа взаимосвязей между признаками использована функция PairGrid() библиотеки Seaborn:</w:t>
      </w:r>
    </w:p>
    <w:p w14:paraId="346D92B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import seaborn as sns</w:t>
      </w:r>
    </w:p>
    <w:p w14:paraId="15D3AA1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import matplotlib.pyplot as plt</w:t>
      </w:r>
    </w:p>
    <w:p w14:paraId="203410E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698C97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var_cols = [col for col in data_pandas.columns if col != 'Label' and col != 'Unnamed: 0']</w:t>
      </w:r>
    </w:p>
    <w:p w14:paraId="1E7D767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23E41D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g = sns.PairGrid(data_pandas, vars=var_cols, hue='Label', palette='tab10')</w:t>
      </w:r>
    </w:p>
    <w:p w14:paraId="525ED72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g.map_upper(sns.scatterplot, s=15)</w:t>
      </w:r>
    </w:p>
    <w:p w14:paraId="35CF4E1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g.map_lower(sns.kdeplot)</w:t>
      </w:r>
    </w:p>
    <w:p w14:paraId="76F5C98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g.map_diag(sns.kdeplot, lw=2)</w:t>
      </w:r>
    </w:p>
    <w:p w14:paraId="798A204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g.add_legend(title='Класс', fontsize=9)</w:t>
      </w:r>
    </w:p>
    <w:p w14:paraId="6A683FD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plt.suptitle('PairGrid: scatter, KDE по диагонали и снизу', y=1.02)</w:t>
      </w:r>
    </w:p>
    <w:p w14:paraId="115D817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6E4984D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0142CC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Для визуального анализа использован метод PairGrid(), который строит матрицу графиков для признаков Var1–Var5. Параметр hue='Label' позволяет отображать классы разными цветами. В верхней части построены диаграммы рассеяния с помощью scatterplot, в нижней - двумерные KDE-графики, а на диагонали - одномерные KDE-распределения признаков. Общий график позволяет оценить распределение каждого признака и взаимосвязи между ними. </w:t>
      </w:r>
      <w:r>
        <w:rPr>
          <w:rFonts w:hint="default" w:cs="Times New Roman"/>
          <w:color w:val="auto"/>
          <w:lang w:val="ru-RU"/>
        </w:rPr>
        <w:t>На рис. 1.5 представлен результат выполнения кода.</w:t>
      </w:r>
    </w:p>
    <w:p w14:paraId="74F0ACE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drawing>
          <wp:inline distT="0" distB="0" distL="114300" distR="114300">
            <wp:extent cx="3355975" cy="3210560"/>
            <wp:effectExtent l="0" t="0" r="12065" b="5080"/>
            <wp:docPr id="8" name="Изображение 8" descr="рис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рис1.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AF5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5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PairGrid с scatter plot (верхний треугольник), KDE plot (нижний треугольник) и KDE по диагонали</w:t>
      </w:r>
      <w:r>
        <w:rPr>
          <w:rFonts w:hint="default"/>
          <w:color w:val="auto"/>
          <w:lang w:val="ru-RU"/>
        </w:rPr>
        <w:t>.</w:t>
      </w:r>
    </w:p>
    <w:p w14:paraId="42D8230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</w:p>
    <w:p w14:paraId="1243F00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На диагонали видно, что распределения признаков для разных классов часто перекрываются, </w:t>
      </w:r>
      <w:r>
        <w:rPr>
          <w:rFonts w:hint="default"/>
          <w:color w:val="auto"/>
          <w:lang w:val="ru-RU"/>
        </w:rPr>
        <w:t xml:space="preserve">но </w:t>
      </w:r>
      <w:r>
        <w:rPr>
          <w:rFonts w:hint="default" w:ascii="Times New Roman" w:hAnsi="Times New Roman"/>
          <w:color w:val="auto"/>
        </w:rPr>
        <w:t>по некоторым признакам (Var1, Var2, Var5) классы 1 и 2 имеют заметные различия в форме кривых. В верхнем треугольнике диаграммы рассеяния показывают, что пары признаков не образуют ч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 xml:space="preserve">тких линейных границ между классами. Нижние KDE-контуры </w:t>
      </w:r>
      <w:r>
        <w:rPr>
          <w:rFonts w:hint="default"/>
          <w:color w:val="auto"/>
          <w:lang w:val="ru-RU"/>
        </w:rPr>
        <w:t>показывают</w:t>
      </w:r>
      <w:r>
        <w:rPr>
          <w:rFonts w:hint="default" w:ascii="Times New Roman" w:hAnsi="Times New Roman"/>
          <w:color w:val="auto"/>
        </w:rPr>
        <w:t>, что плотность распределения наблюдений разных классов частично накладывается, особенно для классов 2 и 3 по признакам Var3 и Var4.</w:t>
      </w:r>
    </w:p>
    <w:p w14:paraId="615910A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i/>
          <w:i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color w:val="auto"/>
          <w:sz w:val="28"/>
          <w:szCs w:val="28"/>
          <w:lang w:val="ru-RU"/>
        </w:rPr>
        <w:t>1.6. Построение гистограмм распределения признаков</w:t>
      </w:r>
    </w:p>
    <w:p w14:paraId="5388434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fig, axs = plt.subplots(1, len(var_cols), figsize=(5*len(var_cols), 4))</w:t>
      </w:r>
    </w:p>
    <w:p w14:paraId="4205C52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4C5EFB6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for i, feature in enumerate(var_cols):</w:t>
      </w:r>
    </w:p>
    <w:p w14:paraId="55808E0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sns.histplot(data_pandas[feature], ax=axs[i])</w:t>
      </w:r>
    </w:p>
    <w:p w14:paraId="5D4701A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axs[i].set_title(feature)</w:t>
      </w:r>
    </w:p>
    <w:p w14:paraId="756039E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4593CED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plt.tight_layout()</w:t>
      </w:r>
    </w:p>
    <w:p w14:paraId="02A91FE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4F07061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Для построения гистограмм использован sns.histplot() в цикле по всем признакам. Параметр ax позволяет размещать каждый график в отдельной ячейке, созданной через plt.subplots().</w:t>
      </w: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auto"/>
          <w:lang w:val="ru-RU"/>
        </w:rPr>
        <w:t>На рис. 1.6 представлен результат выполнения кода.</w:t>
      </w:r>
    </w:p>
    <w:p w14:paraId="114DBA2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1" name="Изображение 11" descr="рис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рис1.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A4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>.</w:t>
      </w:r>
    </w:p>
    <w:p w14:paraId="20B452A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sz w:val="28"/>
          <w:szCs w:val="28"/>
          <w:lang w:val="ru-RU"/>
        </w:rPr>
      </w:pPr>
    </w:p>
    <w:p w14:paraId="2B18444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Г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истограммы показывают общую форму распределения каждого признака. Видно, что некоторые признаки (например, Var1) имеют смещ</w:t>
      </w: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нные распределения для разных классов, тогда как другие (например, Var4) почти одинаковы для всех классов.</w:t>
      </w:r>
    </w:p>
    <w:p w14:paraId="27B2F9B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i/>
          <w:i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color w:val="auto"/>
          <w:sz w:val="28"/>
          <w:szCs w:val="28"/>
          <w:lang w:val="ru-RU"/>
        </w:rPr>
        <w:t>1.6.1. Выбор оптимального количества бинов</w:t>
      </w:r>
    </w:p>
    <w:p w14:paraId="18D07B4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Выясним экспериментальным путем, какое оптимальное количество столбцов будет лучше оценивать распределения для каждого признака.</w:t>
      </w:r>
    </w:p>
    <w:p w14:paraId="4F65F89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bins_list = [5, 10, 15, 20, 30]</w:t>
      </w:r>
    </w:p>
    <w:p w14:paraId="34EC8BE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287C258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for bins in bins_list:</w:t>
      </w:r>
    </w:p>
    <w:p w14:paraId="6C5542A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fig, axs = plt.subplots(1, len(var_cols), figsize=(5*len(var_cols), 4))</w:t>
      </w:r>
    </w:p>
    <w:p w14:paraId="0F6C997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6CE0B69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for i, feature in enumerate(var_cols):</w:t>
      </w:r>
    </w:p>
    <w:p w14:paraId="35933F2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    sns.histplot(data_pandas[feature], bins=bins, ax=axs[i])</w:t>
      </w:r>
    </w:p>
    <w:p w14:paraId="568DE73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    axs[i].set_title(f"{feature}, bins={bins}")</w:t>
      </w:r>
    </w:p>
    <w:p w14:paraId="5F7D5CB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7B7FC65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 xml:space="preserve">    plt.tight_layout()</w:t>
      </w:r>
    </w:p>
    <w:p w14:paraId="4BBBB80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  <w:t>plt.show()</w:t>
      </w:r>
    </w:p>
    <w:p w14:paraId="6ED6F56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</w:p>
    <w:p w14:paraId="5B4C1DA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lang w:val="ru-RU"/>
        </w:rPr>
      </w:pPr>
      <w:r>
        <w:rPr>
          <w:rFonts w:hint="default"/>
          <w:color w:val="auto"/>
          <w:lang w:val="ru-RU"/>
        </w:rPr>
        <w:t xml:space="preserve">В цикле перебираются значения количества бинов: 5, 10, 15, 20, 30. Для каждого значения строится новый набор гистограмм. Это позволяет визуально сравнить, при каком количестве столбцов форма распределения видна наиболее четко, но без излишнего шума. </w:t>
      </w:r>
      <w:r>
        <w:rPr>
          <w:rFonts w:hint="default" w:cs="Times New Roman"/>
          <w:color w:val="auto"/>
          <w:lang w:val="ru-RU"/>
        </w:rPr>
        <w:t>На рис. 1.6.1.1, 1.6.1.2, 1.6.1.3, 1.6.1.4, 1.6.1.5 представлены результаты выполнения кода.</w:t>
      </w:r>
    </w:p>
    <w:p w14:paraId="5ABB7DE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3" name="Изображение 13" descr="рис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рис16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FA6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/>
          <w:color w:val="auto"/>
          <w:lang w:val="en-US"/>
        </w:rPr>
        <w:t>.1.1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 xml:space="preserve"> при </w:t>
      </w:r>
      <w:r>
        <w:rPr>
          <w:rFonts w:hint="default"/>
          <w:color w:val="auto"/>
          <w:lang w:val="en-US"/>
        </w:rPr>
        <w:t>bins=5</w:t>
      </w:r>
      <w:r>
        <w:rPr>
          <w:rFonts w:hint="default"/>
          <w:color w:val="auto"/>
          <w:lang w:val="ru-RU"/>
        </w:rPr>
        <w:t>.</w:t>
      </w:r>
    </w:p>
    <w:p w14:paraId="5695C4C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6A0D407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4" name="Изображение 14" descr="рис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рис16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A5A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/>
          <w:color w:val="auto"/>
          <w:lang w:val="en-US"/>
        </w:rPr>
        <w:t>.1.2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 xml:space="preserve"> при </w:t>
      </w:r>
      <w:r>
        <w:rPr>
          <w:rFonts w:hint="default"/>
          <w:color w:val="auto"/>
          <w:lang w:val="en-US"/>
        </w:rPr>
        <w:t>bins=10</w:t>
      </w:r>
      <w:r>
        <w:rPr>
          <w:rFonts w:hint="default"/>
          <w:color w:val="auto"/>
          <w:lang w:val="ru-RU"/>
        </w:rPr>
        <w:t>.</w:t>
      </w:r>
    </w:p>
    <w:p w14:paraId="2BE792B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7A99237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5" name="Изображение 15" descr="рис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рис16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0EE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/>
          <w:color w:val="auto"/>
          <w:lang w:val="en-US"/>
        </w:rPr>
        <w:t>.1.3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 xml:space="preserve"> при </w:t>
      </w:r>
      <w:r>
        <w:rPr>
          <w:rFonts w:hint="default"/>
          <w:color w:val="auto"/>
          <w:lang w:val="en-US"/>
        </w:rPr>
        <w:t>bins=15</w:t>
      </w:r>
      <w:r>
        <w:rPr>
          <w:rFonts w:hint="default"/>
          <w:color w:val="auto"/>
          <w:lang w:val="ru-RU"/>
        </w:rPr>
        <w:t>.</w:t>
      </w:r>
    </w:p>
    <w:p w14:paraId="7D53F58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019664B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6" name="Изображение 16" descr="рис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рис16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A54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/>
          <w:color w:val="auto"/>
          <w:lang w:val="en-US"/>
        </w:rPr>
        <w:t>.1.4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 xml:space="preserve"> при </w:t>
      </w:r>
      <w:r>
        <w:rPr>
          <w:rFonts w:hint="default"/>
          <w:color w:val="auto"/>
          <w:lang w:val="en-US"/>
        </w:rPr>
        <w:t>bins=20</w:t>
      </w:r>
      <w:r>
        <w:rPr>
          <w:rFonts w:hint="default"/>
          <w:color w:val="auto"/>
          <w:lang w:val="ru-RU"/>
        </w:rPr>
        <w:t>.</w:t>
      </w:r>
    </w:p>
    <w:p w14:paraId="1A45348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5179A71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6109970" cy="944880"/>
            <wp:effectExtent l="0" t="0" r="1270" b="0"/>
            <wp:docPr id="17" name="Изображение 17" descr="рис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рис16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611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</w:t>
      </w:r>
      <w:r>
        <w:rPr>
          <w:rFonts w:hint="default"/>
          <w:color w:val="auto"/>
          <w:lang w:val="en-US"/>
        </w:rPr>
        <w:t>.1.5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Гистограммы распределения признаков</w:t>
      </w:r>
      <w:r>
        <w:rPr>
          <w:rFonts w:hint="default"/>
          <w:color w:val="auto"/>
          <w:lang w:val="ru-RU"/>
        </w:rPr>
        <w:t xml:space="preserve"> при </w:t>
      </w:r>
      <w:r>
        <w:rPr>
          <w:rFonts w:hint="default"/>
          <w:color w:val="auto"/>
          <w:lang w:val="en-US"/>
        </w:rPr>
        <w:t>bins=30</w:t>
      </w:r>
      <w:r>
        <w:rPr>
          <w:rFonts w:hint="default"/>
          <w:color w:val="auto"/>
          <w:lang w:val="ru-RU"/>
        </w:rPr>
        <w:t>.</w:t>
      </w:r>
    </w:p>
    <w:p w14:paraId="51E09A9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18D3DB5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Оптимальным количеством бинов для данного набора оказалось 15: при этом форм</w:t>
      </w: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у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 распределения видн</w:t>
      </w: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 достаточно ч</w:t>
      </w: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тко, но без излишней фрагментации.</w:t>
      </w:r>
    </w:p>
    <w:p w14:paraId="3DFD019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1.6.2. Разделение гистограмм по классам</w:t>
      </w:r>
    </w:p>
    <w:p w14:paraId="168349C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/>
          <w:b w:val="0"/>
          <w:bCs w:val="0"/>
          <w:color w:val="auto"/>
          <w:sz w:val="28"/>
          <w:szCs w:val="28"/>
          <w:lang w:val="ru-RU"/>
        </w:rPr>
        <w:t>Суммирование гистограмм:</w:t>
      </w:r>
    </w:p>
    <w:p w14:paraId="1C5517C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target_col = data_pandas.columns[-1]</w:t>
      </w:r>
    </w:p>
    <w:p w14:paraId="5117BE1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figsize=(20, 4))</w:t>
      </w:r>
    </w:p>
    <w:p w14:paraId="11CF1BB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116613B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i, col in enumerate(var_cols):</w:t>
      </w:r>
    </w:p>
    <w:p w14:paraId="0EF22AA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sns.histplot(</w:t>
      </w:r>
    </w:p>
    <w:p w14:paraId="0172621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data=data_pandas,</w:t>
      </w:r>
    </w:p>
    <w:p w14:paraId="3B4B802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x=col,   </w:t>
      </w:r>
    </w:p>
    <w:p w14:paraId="398F7B5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hue=target_col,               </w:t>
      </w:r>
    </w:p>
    <w:p w14:paraId="4B677B3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bins=15,</w:t>
      </w:r>
    </w:p>
    <w:p w14:paraId="785349A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multiple="stack",</w:t>
      </w:r>
    </w:p>
    <w:p w14:paraId="22A939C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ax=axs[i]</w:t>
      </w:r>
    </w:p>
    <w:p w14:paraId="5231855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)</w:t>
      </w:r>
    </w:p>
    <w:p w14:paraId="3631EAF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axs[i].set_title(col)</w:t>
      </w:r>
    </w:p>
    <w:p w14:paraId="29BB2F6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6BAB419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43D13EE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1A31F35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4C72DC8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работы представлен на рис. 1.6.2.1.</w:t>
      </w:r>
    </w:p>
    <w:p w14:paraId="614B38D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drawing>
          <wp:inline distT="0" distB="0" distL="114300" distR="114300">
            <wp:extent cx="6104255" cy="1183640"/>
            <wp:effectExtent l="0" t="0" r="6985" b="5080"/>
            <wp:docPr id="19" name="Изображение 19" descr="рис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рис16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46F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6.2.1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Суммирование гистограмм.</w:t>
      </w:r>
    </w:p>
    <w:p w14:paraId="34BCEB2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</w:p>
    <w:p w14:paraId="018A488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Пересечение гистограмм:</w:t>
      </w:r>
    </w:p>
    <w:p w14:paraId="06643D8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figsize=(20, 4))</w:t>
      </w:r>
    </w:p>
    <w:p w14:paraId="0E6E63A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i, col in enumerate(var_cols):</w:t>
      </w:r>
    </w:p>
    <w:p w14:paraId="3D6D181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sns.histplot(</w:t>
      </w:r>
    </w:p>
    <w:p w14:paraId="40FF15B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data=data_pandas,</w:t>
      </w:r>
    </w:p>
    <w:p w14:paraId="43EF4E1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x=col,   </w:t>
      </w:r>
    </w:p>
    <w:p w14:paraId="5F3D32E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hue=target_col,               </w:t>
      </w:r>
    </w:p>
    <w:p w14:paraId="1C74581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bins=15,</w:t>
      </w:r>
    </w:p>
    <w:p w14:paraId="487D451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multiple="layer",</w:t>
      </w:r>
    </w:p>
    <w:p w14:paraId="29E8348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ax=axs[i]</w:t>
      </w:r>
    </w:p>
    <w:p w14:paraId="0BBCFD5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)</w:t>
      </w:r>
    </w:p>
    <w:p w14:paraId="1986794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axs[i].set_title(col)</w:t>
      </w:r>
    </w:p>
    <w:p w14:paraId="756EDDC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E48513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732D52B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211EB85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5EDA32A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работы представлен на рис. 1.6.2.2.</w:t>
      </w:r>
    </w:p>
    <w:p w14:paraId="150EC3E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04255" cy="1183640"/>
            <wp:effectExtent l="0" t="0" r="6985" b="5080"/>
            <wp:docPr id="20" name="Изображение 20" descr="рис1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рис16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436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6.2.2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Пересечение гистограмм.</w:t>
      </w:r>
    </w:p>
    <w:p w14:paraId="20372EA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7005067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Параметр hue=target_col в histplot() разделяет данные по классам и раскрашивает их разными цветами. Параметр multiple управляет способом отображения: "stack" складывает гистограммы друг на друга (суммирование), "layer" накладывает их с прозрачностью (пересечение).</w:t>
      </w:r>
    </w:p>
    <w:p w14:paraId="650E8BA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 xml:space="preserve">В режиме </w:t>
      </w:r>
      <w:r>
        <w:rPr>
          <w:rFonts w:hint="default"/>
          <w:color w:val="auto"/>
          <w:lang w:val="ru-RU"/>
        </w:rPr>
        <w:t xml:space="preserve">пересечения </w:t>
      </w:r>
      <w:r>
        <w:rPr>
          <w:rFonts w:hint="default" w:ascii="Times New Roman" w:hAnsi="Times New Roman"/>
          <w:color w:val="auto"/>
        </w:rPr>
        <w:t>видно, что для признаков Var1, Var2, Var5 распределения классов заметно смещены относительно друг друга</w:t>
      </w:r>
      <w:r>
        <w:rPr>
          <w:rFonts w:hint="default"/>
          <w:color w:val="auto"/>
          <w:lang w:val="ru-RU"/>
        </w:rPr>
        <w:t xml:space="preserve"> 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это </w:t>
      </w:r>
      <w:r>
        <w:rPr>
          <w:rFonts w:hint="default" w:ascii="Times New Roman" w:hAnsi="Times New Roman"/>
          <w:color w:val="auto"/>
        </w:rPr>
        <w:t xml:space="preserve">делает их полезными для классификации. Для Var3 и Var4 кривые практически совпадают, </w:t>
      </w:r>
      <w:r>
        <w:rPr>
          <w:rFonts w:hint="default"/>
          <w:color w:val="auto"/>
          <w:lang w:val="ru-RU"/>
        </w:rPr>
        <w:t>следовательно</w:t>
      </w:r>
      <w:r>
        <w:rPr>
          <w:rFonts w:hint="default" w:ascii="Times New Roman" w:hAnsi="Times New Roman"/>
          <w:color w:val="auto"/>
        </w:rPr>
        <w:t>, эти признаки несут меньше информации о принадлежности к классу.</w:t>
      </w:r>
    </w:p>
    <w:p w14:paraId="4EDDEF5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1.7. Гистограммы в виде ступенек</w:t>
      </w:r>
    </w:p>
    <w:p w14:paraId="029A435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figsize=(5*len(var_cols), 4))</w:t>
      </w:r>
    </w:p>
    <w:p w14:paraId="32BFB2E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1634692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i, feature in enumerate(var_cols):</w:t>
      </w:r>
    </w:p>
    <w:p w14:paraId="0F9607B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sns.histplot(data_pandas[feature], ax=axs[i], element='step')</w:t>
      </w:r>
    </w:p>
    <w:p w14:paraId="2557E82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axs[i].set_title(feature)</w:t>
      </w:r>
    </w:p>
    <w:p w14:paraId="7BC7D26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79E02E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6DBC187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FAF770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Параметр element='step' в histplot() заменяет обычные столбцы на ступенчатую линию</w:t>
      </w:r>
      <w:r>
        <w:rPr>
          <w:rFonts w:hint="default"/>
          <w:color w:val="auto"/>
          <w:lang w:val="ru-RU"/>
        </w:rPr>
        <w:t>. Результат работы представлен на рис. 1.7.</w:t>
      </w:r>
    </w:p>
    <w:p w14:paraId="62C3919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color w:val="auto"/>
          <w:lang w:val="en-US"/>
        </w:rPr>
        <w:drawing>
          <wp:inline distT="0" distB="0" distL="114300" distR="114300">
            <wp:extent cx="6109970" cy="944880"/>
            <wp:effectExtent l="0" t="0" r="1270" b="0"/>
            <wp:docPr id="22" name="Изображение 22" descr="рис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рис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4A2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7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Гистограммы распределения признаков в виде ступенек.</w:t>
      </w:r>
    </w:p>
    <w:p w14:paraId="6627B16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</w:p>
    <w:p w14:paraId="18C44BD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Ступенчатые гистограммы сохраняют всю информацию о распределении,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 w:ascii="Times New Roman" w:hAnsi="Times New Roman"/>
          <w:color w:val="auto"/>
        </w:rPr>
        <w:t>улучша</w:t>
      </w:r>
      <w:r>
        <w:rPr>
          <w:rFonts w:hint="default"/>
          <w:color w:val="auto"/>
          <w:lang w:val="ru-RU"/>
        </w:rPr>
        <w:t>ют</w:t>
      </w:r>
      <w:r>
        <w:rPr>
          <w:rFonts w:hint="default" w:ascii="Times New Roman" w:hAnsi="Times New Roman"/>
          <w:color w:val="auto"/>
        </w:rPr>
        <w:t xml:space="preserve"> читаемость графиков и помога</w:t>
      </w:r>
      <w:r>
        <w:rPr>
          <w:rFonts w:hint="default"/>
          <w:color w:val="auto"/>
          <w:lang w:val="ru-RU"/>
        </w:rPr>
        <w:t>ю</w:t>
      </w:r>
      <w:r>
        <w:rPr>
          <w:rFonts w:hint="default" w:ascii="Times New Roman" w:hAnsi="Times New Roman"/>
          <w:color w:val="auto"/>
        </w:rPr>
        <w:t>т точнее оценивать различия между распределениями.</w:t>
      </w:r>
    </w:p>
    <w:p w14:paraId="6BEA7F7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1.8. Добавление KDE на гистограммы</w:t>
      </w:r>
    </w:p>
    <w:p w14:paraId="71CF103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figsize=(5*len(var_cols), 4))</w:t>
      </w:r>
    </w:p>
    <w:p w14:paraId="5EA00BE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14627E3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i, feature in enumerate(var_cols):</w:t>
      </w:r>
    </w:p>
    <w:p w14:paraId="2CC8E2F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sns.histplot(data_pandas[feature], ax=axs[i], element='step', kde=True)</w:t>
      </w:r>
    </w:p>
    <w:p w14:paraId="0094E0F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axs[i].set_title(feature)</w:t>
      </w:r>
    </w:p>
    <w:p w14:paraId="5D4B433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2024A1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3253F44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7AB5778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Параметр kde=True добавляет поверх гистограммы сглаженную кривую ядерной оценки плотности.</w:t>
      </w:r>
      <w:r>
        <w:rPr>
          <w:rFonts w:hint="default"/>
          <w:color w:val="auto"/>
          <w:lang w:val="ru-RU"/>
        </w:rPr>
        <w:t xml:space="preserve"> Результат работы представлен на рис. 1.8.</w:t>
      </w:r>
    </w:p>
    <w:p w14:paraId="5992ACD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color w:val="auto"/>
          <w:lang w:val="en-US"/>
        </w:rPr>
        <w:drawing>
          <wp:inline distT="0" distB="0" distL="114300" distR="114300">
            <wp:extent cx="6109970" cy="944880"/>
            <wp:effectExtent l="0" t="0" r="1270" b="0"/>
            <wp:docPr id="21" name="Изображение 21" descr="hb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hbc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A68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Рисунок 1.</w:t>
      </w:r>
      <w:r>
        <w:rPr>
          <w:rFonts w:hint="default"/>
          <w:color w:val="auto"/>
          <w:lang w:val="ru-RU"/>
        </w:rPr>
        <w:t>8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Гистограммы распределения признаков с </w:t>
      </w:r>
      <w:r>
        <w:rPr>
          <w:rFonts w:hint="default"/>
          <w:color w:val="auto"/>
          <w:lang w:val="en-US"/>
        </w:rPr>
        <w:t>KDE</w:t>
      </w:r>
      <w:r>
        <w:rPr>
          <w:rFonts w:hint="default"/>
          <w:color w:val="auto"/>
          <w:lang w:val="ru-RU"/>
        </w:rPr>
        <w:t>.</w:t>
      </w:r>
    </w:p>
    <w:p w14:paraId="25FD667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</w:p>
    <w:p w14:paraId="7F974E9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Наложение KDE подтверждает выводы, сделанные по гистограммам: для одних признаков распределения классов ч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 xml:space="preserve">тко разделены, для других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сильно перекрываются. При этом KDE сглаживает шум, делая выводы более над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жными.</w:t>
      </w:r>
    </w:p>
    <w:p w14:paraId="17C0DC7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/>
          <w:bCs/>
          <w:color w:val="auto"/>
        </w:rPr>
      </w:pPr>
      <w:r>
        <w:rPr>
          <w:rFonts w:hint="default" w:ascii="Times New Roman" w:hAnsi="Times New Roman"/>
          <w:b/>
          <w:bCs/>
          <w:color w:val="auto"/>
        </w:rPr>
        <w:t>2. Изучение набора данных с использованием NumPy</w:t>
      </w:r>
    </w:p>
    <w:p w14:paraId="6C540BC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2.1. Загрузка данных как массив NumPy</w:t>
      </w:r>
    </w:p>
    <w:p w14:paraId="0ADD8EE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import numpy as np</w:t>
      </w:r>
    </w:p>
    <w:p w14:paraId="75CB5A5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data_numpy = np.genfromtxt('lab1_var5.csv', delimiter=',', skip_header=1)</w:t>
      </w:r>
    </w:p>
    <w:p w14:paraId="0CF1820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D44C35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Функция np.genfromtxt() читает файл и возвращает числовой массив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>nump</w:t>
      </w:r>
      <w:r>
        <w:rPr>
          <w:rFonts w:hint="default" w:ascii="Times New Roman" w:hAnsi="Times New Roman"/>
          <w:color w:val="auto"/>
        </w:rPr>
        <w:t xml:space="preserve">y. Параметр delimiter=',' указывает разделитель, а skip_header=1 пропускает строку с заголовками, чтобы в массив попали только данные. </w:t>
      </w:r>
    </w:p>
    <w:p w14:paraId="69FD25B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2.2. Вывод первых 10 наблюдений</w:t>
      </w:r>
    </w:p>
    <w:p w14:paraId="07E1ECC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print(data_numpy.shape)</w:t>
      </w:r>
    </w:p>
    <w:p w14:paraId="5D0A874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print(data_numpy[:10])</w:t>
      </w:r>
    </w:p>
    <w:p w14:paraId="4C9A059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03CB3FA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Срез data_numpy[:10] возвращает первые десять строк массива. Дополнительно выводится shape, чтобы проверить размерность.</w:t>
      </w:r>
      <w:r>
        <w:rPr>
          <w:rFonts w:hint="default"/>
          <w:color w:val="auto"/>
          <w:lang w:val="ru-RU"/>
        </w:rPr>
        <w:t xml:space="preserve"> Результат работы представлен на рис. 2.2.</w:t>
      </w:r>
    </w:p>
    <w:p w14:paraId="04E507C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color w:val="auto"/>
          <w:lang w:val="en-US"/>
        </w:rPr>
        <w:drawing>
          <wp:inline distT="0" distB="0" distL="114300" distR="114300">
            <wp:extent cx="3072130" cy="2376170"/>
            <wp:effectExtent l="0" t="0" r="6350" b="1270"/>
            <wp:docPr id="24" name="Изображение 24" descr="рис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рис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BB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2.2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Проверка набора данных, загруженных через </w:t>
      </w:r>
      <w:r>
        <w:rPr>
          <w:rFonts w:hint="default"/>
          <w:color w:val="auto"/>
          <w:lang w:val="en-US"/>
        </w:rPr>
        <w:t>numpy</w:t>
      </w:r>
      <w:r>
        <w:rPr>
          <w:rFonts w:hint="default"/>
          <w:color w:val="auto"/>
          <w:lang w:val="ru-RU"/>
        </w:rPr>
        <w:t>.</w:t>
      </w:r>
    </w:p>
    <w:p w14:paraId="5C534E5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</w:p>
    <w:p w14:paraId="68FA0D9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t xml:space="preserve">Значения в первых десяти строках совпадают с теми, что </w:t>
      </w:r>
      <w:r>
        <w:rPr>
          <w:rFonts w:hint="default"/>
          <w:color w:val="auto"/>
          <w:lang w:val="ru-RU"/>
        </w:rPr>
        <w:t>были</w:t>
      </w:r>
      <w:r>
        <w:rPr>
          <w:rFonts w:hint="default" w:ascii="Times New Roman" w:hAnsi="Times New Roman"/>
          <w:color w:val="auto"/>
          <w:lang w:val="ru-RU"/>
        </w:rPr>
        <w:t xml:space="preserve"> при загрузке через Pandas. Размерность (700, 7) подтверждает, что </w:t>
      </w:r>
      <w:r>
        <w:rPr>
          <w:rFonts w:hint="default"/>
          <w:color w:val="auto"/>
          <w:lang w:val="ru-RU"/>
        </w:rPr>
        <w:t>никакие данные</w:t>
      </w:r>
      <w:r>
        <w:rPr>
          <w:rFonts w:hint="default" w:ascii="Times New Roman" w:hAnsi="Times New Roman"/>
          <w:color w:val="auto"/>
          <w:lang w:val="ru-RU"/>
        </w:rPr>
        <w:t xml:space="preserve"> не потерялись.</w:t>
      </w:r>
    </w:p>
    <w:p w14:paraId="5F7F2B5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2.3. Расч</w:t>
      </w:r>
      <w:r>
        <w:rPr>
          <w:rFonts w:hint="default"/>
          <w:i/>
          <w:iCs/>
          <w:color w:val="auto"/>
          <w:lang w:val="ru-RU"/>
        </w:rPr>
        <w:t>е</w:t>
      </w:r>
      <w:r>
        <w:rPr>
          <w:rFonts w:hint="default" w:ascii="Times New Roman" w:hAnsi="Times New Roman"/>
          <w:i/>
          <w:iCs/>
          <w:color w:val="auto"/>
        </w:rPr>
        <w:t>т характеристик методами NumPy</w:t>
      </w:r>
    </w:p>
    <w:p w14:paraId="4E74B3C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def describe_numpy(data_numpy):</w:t>
      </w:r>
    </w:p>
    <w:p w14:paraId="2725B48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 = {}</w:t>
      </w:r>
    </w:p>
    <w:p w14:paraId="7A2E8E5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desc['count'] = data_numpy.shape[0]</w:t>
      </w:r>
    </w:p>
    <w:p w14:paraId="1B26C66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desc['mean'] = np.mean(data_numpy, axis=0)</w:t>
      </w:r>
    </w:p>
    <w:p w14:paraId="343E2AE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desc['std'] = np.std(data_numpy, axis=0, ddof=1) # ddof=1 - несмещенная оценка, делит на (n-1)</w:t>
      </w:r>
    </w:p>
    <w:p w14:paraId="0CCCE8C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desc['min'] = np.min(data_numpy, axis=0)</w:t>
      </w:r>
    </w:p>
    <w:p w14:paraId="495DD07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desc['25%'] = np.percentile(data_numpy, 25, axis=0)</w:t>
      </w:r>
    </w:p>
    <w:p w14:paraId="550CCFA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desc['50%'] = np.median(data_numpy, axis=0)</w:t>
      </w:r>
    </w:p>
    <w:p w14:paraId="50FAE99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desc['75%'] = np.percentile(data_numpy, 75, axis=0)</w:t>
      </w:r>
    </w:p>
    <w:p w14:paraId="1573C20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desc['max'] = np.max(data_numpy, axis=0)</w:t>
      </w:r>
    </w:p>
    <w:p w14:paraId="7CB8FEE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48FF7A3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return desc</w:t>
      </w:r>
    </w:p>
    <w:p w14:paraId="2EBD6CB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0EEEDD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desc = describe_numpy(data_numpy)</w:t>
      </w:r>
    </w:p>
    <w:p w14:paraId="18C3D1C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2F2350F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key, value in desc.items():</w:t>
      </w:r>
    </w:p>
    <w:p w14:paraId="406639C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print(f"{key}: {value}")</w:t>
      </w:r>
    </w:p>
    <w:p w14:paraId="5AE02E4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062D3FA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 xml:space="preserve">Функция describe_numpy() вручную вычисляет те же статистики, что и метод describe() в Pandas, но с использованием функций </w:t>
      </w:r>
      <w:r>
        <w:rPr>
          <w:rFonts w:hint="default"/>
          <w:color w:val="auto"/>
          <w:lang w:val="en-US"/>
        </w:rPr>
        <w:t>numpy</w:t>
      </w:r>
      <w:r>
        <w:rPr>
          <w:rFonts w:hint="default" w:ascii="Times New Roman" w:hAnsi="Times New Roman"/>
          <w:color w:val="auto"/>
        </w:rPr>
        <w:t xml:space="preserve">. </w:t>
      </w:r>
      <w:r>
        <w:rPr>
          <w:rFonts w:hint="default"/>
          <w:color w:val="auto"/>
          <w:lang w:val="ru-RU"/>
        </w:rPr>
        <w:t>Д</w:t>
      </w:r>
      <w:r>
        <w:rPr>
          <w:rFonts w:hint="default" w:ascii="Times New Roman" w:hAnsi="Times New Roman"/>
          <w:color w:val="auto"/>
        </w:rPr>
        <w:t xml:space="preserve">ля стандартного отклонения указан параметр ddof=1, </w:t>
      </w:r>
      <w:r>
        <w:rPr>
          <w:rFonts w:hint="default"/>
          <w:color w:val="auto"/>
          <w:lang w:val="ru-RU"/>
        </w:rPr>
        <w:t xml:space="preserve">он </w:t>
      </w:r>
      <w:r>
        <w:rPr>
          <w:rFonts w:hint="default" w:ascii="Times New Roman" w:hAnsi="Times New Roman"/>
          <w:color w:val="auto"/>
        </w:rPr>
        <w:t>да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т несмещ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 xml:space="preserve">нную оценку (деление на n−1), по умолчанию </w:t>
      </w:r>
      <w:r>
        <w:rPr>
          <w:rFonts w:hint="default"/>
          <w:color w:val="auto"/>
          <w:lang w:val="en-US"/>
        </w:rPr>
        <w:t>numpy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 w:ascii="Times New Roman" w:hAnsi="Times New Roman"/>
          <w:color w:val="auto"/>
        </w:rPr>
        <w:t>использует смещ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нную оценку (деление на n).</w:t>
      </w:r>
      <w:r>
        <w:rPr>
          <w:rFonts w:hint="default"/>
          <w:color w:val="auto"/>
          <w:lang w:val="ru-RU"/>
        </w:rPr>
        <w:t xml:space="preserve"> Результат работы представлен на рис. 2.3.</w:t>
      </w:r>
    </w:p>
    <w:p w14:paraId="19D22AB2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3180715" cy="1707515"/>
            <wp:effectExtent l="0" t="0" r="4445" b="14605"/>
            <wp:docPr id="26" name="Изображение 26" descr="рис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рис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002E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2.</w:t>
      </w:r>
      <w:r>
        <w:rPr>
          <w:rFonts w:hint="default"/>
          <w:color w:val="auto"/>
          <w:lang w:val="en-US"/>
        </w:rPr>
        <w:t>3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Рассчитанные характеристики набора данных.</w:t>
      </w:r>
    </w:p>
    <w:p w14:paraId="3B94E0E2">
      <w:pPr>
        <w:pStyle w:val="28"/>
        <w:numPr>
          <w:ilvl w:val="0"/>
          <w:numId w:val="0"/>
        </w:numPr>
        <w:bidi w:val="0"/>
        <w:rPr>
          <w:rFonts w:hint="default" w:ascii="Times New Roman" w:hAnsi="Times New Roman"/>
          <w:color w:val="auto"/>
        </w:rPr>
      </w:pPr>
    </w:p>
    <w:p w14:paraId="60081D4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Полученные значения полностью совпадают с результатами из Pandas, что подтверждает корректность расч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тов.</w:t>
      </w:r>
    </w:p>
    <w:p w14:paraId="2560A73D">
      <w:pPr>
        <w:pStyle w:val="28"/>
        <w:numPr>
          <w:ilvl w:val="0"/>
          <w:numId w:val="0"/>
        </w:numPr>
        <w:bidi w:val="0"/>
        <w:ind w:leftChars="125"/>
        <w:rPr>
          <w:rFonts w:hint="default" w:ascii="Times New Roman" w:hAnsi="Times New Roman"/>
          <w:b/>
          <w:bCs/>
          <w:color w:val="auto"/>
        </w:rPr>
      </w:pPr>
      <w:r>
        <w:rPr>
          <w:rFonts w:hint="default" w:ascii="Times New Roman" w:hAnsi="Times New Roman"/>
          <w:b/>
          <w:bCs/>
          <w:color w:val="auto"/>
        </w:rPr>
        <w:t>3. Преобразование данных</w:t>
      </w:r>
    </w:p>
    <w:p w14:paraId="0FDAE19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3.1. Кодирование меток класса</w:t>
      </w:r>
    </w:p>
    <w:p w14:paraId="127052D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 w:val="0"/>
          <w:iCs w:val="0"/>
          <w:color w:val="auto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 xml:space="preserve">Загрузим данные столбца </w:t>
      </w:r>
      <w:r>
        <w:rPr>
          <w:rFonts w:hint="default"/>
          <w:i w:val="0"/>
          <w:iCs w:val="0"/>
          <w:color w:val="auto"/>
          <w:lang w:val="en-US"/>
        </w:rPr>
        <w:t xml:space="preserve">label </w:t>
      </w:r>
      <w:r>
        <w:rPr>
          <w:rFonts w:hint="default"/>
          <w:i w:val="0"/>
          <w:iCs w:val="0"/>
          <w:color w:val="auto"/>
          <w:lang w:val="ru-RU"/>
        </w:rPr>
        <w:t xml:space="preserve">с классами для проверки работы </w:t>
      </w:r>
      <w:r>
        <w:rPr>
          <w:rFonts w:hint="default"/>
          <w:i w:val="0"/>
          <w:iCs w:val="0"/>
          <w:color w:val="auto"/>
          <w:lang w:val="en-US"/>
        </w:rPr>
        <w:t xml:space="preserve">LabelEncoder </w:t>
      </w:r>
      <w:r>
        <w:rPr>
          <w:rFonts w:hint="default"/>
          <w:i w:val="0"/>
          <w:iCs w:val="0"/>
          <w:color w:val="auto"/>
          <w:lang w:val="ru-RU"/>
        </w:rPr>
        <w:t xml:space="preserve">и </w:t>
      </w:r>
      <w:r>
        <w:rPr>
          <w:rFonts w:hint="default"/>
          <w:i w:val="0"/>
          <w:iCs w:val="0"/>
          <w:color w:val="auto"/>
          <w:lang w:val="en-US"/>
        </w:rPr>
        <w:t>OneHotEncoder</w:t>
      </w:r>
      <w:r>
        <w:rPr>
          <w:rFonts w:hint="default"/>
          <w:i w:val="0"/>
          <w:iCs w:val="0"/>
          <w:color w:val="auto"/>
          <w:lang w:val="ru-RU"/>
        </w:rPr>
        <w:t>.</w:t>
      </w:r>
    </w:p>
    <w:p w14:paraId="1623363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data_pandas_with_class = pandas.read_csv('lab1_var5_with_class.csv')</w:t>
      </w:r>
    </w:p>
    <w:p w14:paraId="1477190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labels = data_pandas_with_class['Label']</w:t>
      </w:r>
    </w:p>
    <w:p w14:paraId="400AFF8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print(labels[:5])</w:t>
      </w:r>
    </w:p>
    <w:p w14:paraId="2E5D96B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08EED5C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работы представлен на рис. 3.1.1.</w:t>
      </w:r>
    </w:p>
    <w:p w14:paraId="29B3507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1757680" cy="1028700"/>
            <wp:effectExtent l="0" t="0" r="10160" b="7620"/>
            <wp:docPr id="27" name="Изображение 27" descr="рис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рис3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8F6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3.1.1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Проверка загруженных лейблов.</w:t>
      </w:r>
    </w:p>
    <w:p w14:paraId="443BD89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4F21A57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Данные успешно загрузились.</w:t>
      </w:r>
    </w:p>
    <w:p w14:paraId="54C2389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Применим </w:t>
      </w:r>
      <w:r>
        <w:rPr>
          <w:rFonts w:hint="default"/>
          <w:color w:val="auto"/>
          <w:lang w:val="en-US"/>
        </w:rPr>
        <w:t xml:space="preserve">LabelEncoder </w:t>
      </w:r>
      <w:r>
        <w:rPr>
          <w:rFonts w:hint="default"/>
          <w:color w:val="auto"/>
          <w:lang w:val="ru-RU"/>
        </w:rPr>
        <w:t xml:space="preserve">к массиву </w:t>
      </w:r>
      <w:r>
        <w:rPr>
          <w:rFonts w:hint="default"/>
          <w:color w:val="auto"/>
          <w:lang w:val="en-US"/>
        </w:rPr>
        <w:t>labels.</w:t>
      </w:r>
    </w:p>
    <w:p w14:paraId="3F64534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from sklearn.preprocessing import LabelEncoder, OneHotEncoder</w:t>
      </w:r>
    </w:p>
    <w:p w14:paraId="1BC011F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label_encoder = LabelEncoder()</w:t>
      </w:r>
    </w:p>
    <w:p w14:paraId="3F3288C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data_label_encoder = label_encoder.fit_transform(labels)</w:t>
      </w:r>
    </w:p>
    <w:p w14:paraId="3218DE6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print(data_label_encoder[:10])</w:t>
      </w:r>
    </w:p>
    <w:p w14:paraId="5B06679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6ABAE7C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LabelEncoder преобразует строковые метки Class1, Class2, Class3 в целые числа 0, 1, 2. Это экономит память и подходит для целевой переменной в задачах классификации. Результат работы представлен на рис. 3.1.2.</w:t>
      </w:r>
    </w:p>
    <w:p w14:paraId="31D3285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en-US"/>
        </w:rPr>
      </w:pPr>
    </w:p>
    <w:p w14:paraId="253332A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1150620" cy="205740"/>
            <wp:effectExtent l="0" t="0" r="7620" b="7620"/>
            <wp:docPr id="30" name="Изображение 30" descr="рис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рис3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F91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3.1.2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работы </w:t>
      </w:r>
      <w:r>
        <w:rPr>
          <w:rFonts w:hint="default"/>
          <w:color w:val="auto"/>
          <w:lang w:val="en-US"/>
        </w:rPr>
        <w:t>LabelEncoder.</w:t>
      </w:r>
    </w:p>
    <w:p w14:paraId="4D57B53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6FF7C00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/>
          <w:color w:val="auto"/>
          <w:lang w:val="ru-RU"/>
        </w:rPr>
        <w:t xml:space="preserve">Применим </w:t>
      </w:r>
      <w:r>
        <w:rPr>
          <w:rFonts w:hint="default"/>
          <w:color w:val="auto"/>
          <w:lang w:val="en-US"/>
        </w:rPr>
        <w:t xml:space="preserve">OneHotEncoder </w:t>
      </w:r>
      <w:r>
        <w:rPr>
          <w:rFonts w:hint="default"/>
          <w:color w:val="auto"/>
          <w:lang w:val="ru-RU"/>
        </w:rPr>
        <w:t xml:space="preserve">к массиву </w:t>
      </w:r>
      <w:r>
        <w:rPr>
          <w:rFonts w:hint="default"/>
          <w:color w:val="auto"/>
          <w:lang w:val="en-US"/>
        </w:rPr>
        <w:t>labels.</w:t>
      </w:r>
    </w:p>
    <w:p w14:paraId="63459E1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one_hot_encoder = OneHotEncoder(sparse_output=False)</w:t>
      </w:r>
    </w:p>
    <w:p w14:paraId="065549E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labels_reshaped = labels.values.reshape(-1, 1)</w:t>
      </w:r>
    </w:p>
    <w:p w14:paraId="7A5D0B2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print(labels_reshaped[:5])</w:t>
      </w:r>
    </w:p>
    <w:p w14:paraId="30BDF95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data_one_hot_encoder = one_hot_encoder.fit_transform(labels_reshaped)</w:t>
      </w:r>
    </w:p>
    <w:p w14:paraId="12D405A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print(data_one_hot_encoder[:10])</w:t>
      </w:r>
    </w:p>
    <w:p w14:paraId="5765099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both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25B01E8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t>OneHotEncoder созда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  <w:lang w:val="ru-RU"/>
        </w:rPr>
        <w:t>т отдельный бинарный столбец для каждого класса (например, [1,0,0] для Class1), что устраняет ложный порядок между классами, но увеличивает размерность данных. Параметр sparse_output=False возвращает обычный массив вместо разреженной матрицы.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Результат работы представлен на рис. 3.1.</w:t>
      </w:r>
      <w:r>
        <w:rPr>
          <w:rFonts w:hint="default"/>
          <w:color w:val="auto"/>
          <w:lang w:val="en-US"/>
        </w:rPr>
        <w:t>3</w:t>
      </w:r>
      <w:r>
        <w:rPr>
          <w:rFonts w:hint="default"/>
          <w:color w:val="auto"/>
          <w:lang w:val="ru-RU"/>
        </w:rPr>
        <w:t>.</w:t>
      </w:r>
    </w:p>
    <w:p w14:paraId="2278E99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975360" cy="2057400"/>
            <wp:effectExtent l="0" t="0" r="0" b="0"/>
            <wp:docPr id="32" name="Изображение 32" descr="рис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рис3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687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3.1.3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работы </w:t>
      </w:r>
      <w:r>
        <w:rPr>
          <w:rFonts w:hint="default"/>
          <w:color w:val="auto"/>
          <w:lang w:val="en-US"/>
        </w:rPr>
        <w:t>OneHotEncoder.</w:t>
      </w:r>
    </w:p>
    <w:p w14:paraId="3A4DC73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LabelEncoder подходит, когда метки </w:t>
      </w:r>
      <w:r>
        <w:rPr>
          <w:rFonts w:hint="default"/>
          <w:color w:val="auto"/>
          <w:lang w:val="en-US"/>
        </w:rPr>
        <w:t>-</w:t>
      </w:r>
      <w:r>
        <w:rPr>
          <w:rFonts w:hint="default" w:ascii="Times New Roman" w:hAnsi="Times New Roman"/>
          <w:color w:val="auto"/>
        </w:rPr>
        <w:t xml:space="preserve"> это целевая переменная, так как большинство алгоритмов ожидают целочисленные классы. OneHotEncoder нужен, когда категориальные признаки подаются на вход модели: если оставить целые числа, модель может ошибочно интерпретировать их как порядковые. </w:t>
      </w:r>
    </w:p>
    <w:p w14:paraId="75C2997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3.2. Преобразование признаков в массив NumPy</w:t>
      </w:r>
    </w:p>
    <w:p w14:paraId="51F3F37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data_only_var = data_pandas.drop(columns=['Label', 'Unnamed: 0'])</w:t>
      </w:r>
    </w:p>
    <w:p w14:paraId="3BEEC10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print(data_only_var.head(), '\n')</w:t>
      </w:r>
    </w:p>
    <w:p w14:paraId="271714B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data_numpy_array = np.array(data_only_var)</w:t>
      </w:r>
    </w:p>
    <w:p w14:paraId="5B8D717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print(data_numpy_array.shape)</w:t>
      </w:r>
    </w:p>
    <w:p w14:paraId="03062C9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print(data_numpy_array[:5])</w:t>
      </w:r>
    </w:p>
    <w:p w14:paraId="5C8685C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3ABE595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Сначала из DataFrame удаляются столбцы Label и Unnamed: 0, так как они не являются признаками. Оставшиеся столбцы Var1–Var5 преобразуются в массив </w:t>
      </w:r>
      <w:r>
        <w:rPr>
          <w:rFonts w:hint="default"/>
          <w:color w:val="auto"/>
          <w:lang w:val="en-US"/>
        </w:rPr>
        <w:t xml:space="preserve">numpy </w:t>
      </w:r>
      <w:r>
        <w:rPr>
          <w:rFonts w:hint="default" w:ascii="Times New Roman" w:hAnsi="Times New Roman"/>
          <w:color w:val="auto"/>
        </w:rPr>
        <w:t>методом np.array()</w:t>
      </w:r>
      <w:r>
        <w:rPr>
          <w:rFonts w:hint="default"/>
          <w:color w:val="auto"/>
          <w:lang w:val="en-US"/>
        </w:rPr>
        <w:t xml:space="preserve">. </w:t>
      </w:r>
      <w:r>
        <w:rPr>
          <w:rFonts w:hint="default"/>
          <w:color w:val="auto"/>
          <w:lang w:val="ru-RU"/>
        </w:rPr>
        <w:t>Результат работы представлен на рис. 3.</w:t>
      </w:r>
      <w:r>
        <w:rPr>
          <w:rFonts w:hint="default"/>
          <w:color w:val="auto"/>
          <w:lang w:val="en-US"/>
        </w:rPr>
        <w:t>2</w:t>
      </w:r>
      <w:r>
        <w:rPr>
          <w:rFonts w:hint="default"/>
          <w:color w:val="auto"/>
          <w:lang w:val="ru-RU"/>
        </w:rPr>
        <w:t>.</w:t>
      </w:r>
    </w:p>
    <w:p w14:paraId="2B90D1D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3589020" cy="1691640"/>
            <wp:effectExtent l="0" t="0" r="7620" b="0"/>
            <wp:docPr id="33" name="Изображение 33" descr="рис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рис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83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</w:t>
      </w:r>
      <w:r>
        <w:rPr>
          <w:rFonts w:hint="default"/>
          <w:color w:val="auto"/>
          <w:lang w:val="en-US"/>
        </w:rPr>
        <w:t xml:space="preserve">2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преобразования признаков в массив </w:t>
      </w:r>
      <w:r>
        <w:rPr>
          <w:rFonts w:hint="default"/>
          <w:color w:val="auto"/>
          <w:lang w:val="en-US"/>
        </w:rPr>
        <w:t>numpy.</w:t>
      </w:r>
    </w:p>
    <w:p w14:paraId="763CFCA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</w:p>
    <w:p w14:paraId="181FC26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Получен массив формы (700, 5), содержащий только признаки.</w:t>
      </w:r>
    </w:p>
    <w:p w14:paraId="4710387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>3.3. Масштабирование признаков</w:t>
      </w:r>
    </w:p>
    <w:p w14:paraId="0F67253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from sklearn.preprocessing import StandardScaler, MinMaxScaler, MaxAbsScaler, RobustScaler</w:t>
      </w:r>
    </w:p>
    <w:p w14:paraId="4A4BB8B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4E3D5F3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scalers = {</w:t>
      </w:r>
    </w:p>
    <w:p w14:paraId="0D89095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'StandardScaler': StandardScaler(),</w:t>
      </w:r>
    </w:p>
    <w:p w14:paraId="0B3387E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'MinMaxScaler': MinMaxScaler(),</w:t>
      </w:r>
    </w:p>
    <w:p w14:paraId="5B5EE90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'MaxAbsScaler': MaxAbsScaler(),</w:t>
      </w:r>
    </w:p>
    <w:p w14:paraId="2D5B8E6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'RobustScaler': RobustScaler()</w:t>
      </w:r>
    </w:p>
    <w:p w14:paraId="548B736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}</w:t>
      </w:r>
    </w:p>
    <w:p w14:paraId="6521526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6C164B4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scaled_data = {}</w:t>
      </w:r>
    </w:p>
    <w:p w14:paraId="27C8394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259929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name, scaler in scalers.items():</w:t>
      </w:r>
    </w:p>
    <w:p w14:paraId="5F8FCC3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scaled_data[name] = scaler.fit_transform(data_numpy_array)</w:t>
      </w:r>
    </w:p>
    <w:p w14:paraId="19FB71E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name, data_scaled in scaled_data.items():</w:t>
      </w:r>
    </w:p>
    <w:p w14:paraId="0F98556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n_features = data_scaled.shape[1]</w:t>
      </w:r>
    </w:p>
    <w:p w14:paraId="12CDF1E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</w:t>
      </w:r>
    </w:p>
    <w:p w14:paraId="0BE55EB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fig, axs = plt.subplots(1, n_features, figsize=(4*n_features, 4))</w:t>
      </w:r>
    </w:p>
    <w:p w14:paraId="6D5C6B3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fig.suptitle(name, fontsize=16)</w:t>
      </w:r>
    </w:p>
    <w:p w14:paraId="5D0041D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</w:t>
      </w:r>
    </w:p>
    <w:p w14:paraId="58CD65A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for i in range(n_features):</w:t>
      </w:r>
    </w:p>
    <w:p w14:paraId="23897EC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sns.histplot(data_scaled[:, i], bins=15, kde=True, ax=axs[i], color='skyblue')</w:t>
      </w:r>
    </w:p>
    <w:p w14:paraId="1B6E579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axs[i].set_title(f'Var{i+1}')</w:t>
      </w:r>
    </w:p>
    <w:p w14:paraId="6D0CF8E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</w:t>
      </w:r>
    </w:p>
    <w:p w14:paraId="38EF3E4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plt.show()</w:t>
      </w:r>
    </w:p>
    <w:p w14:paraId="47059EF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57AE674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color w:val="auto"/>
        </w:rPr>
        <w:t xml:space="preserve">Применяются четыре </w:t>
      </w:r>
      <w:r>
        <w:rPr>
          <w:rFonts w:hint="default"/>
          <w:color w:val="auto"/>
          <w:lang w:val="en-US"/>
        </w:rPr>
        <w:t xml:space="preserve">scaler </w:t>
      </w:r>
      <w:r>
        <w:rPr>
          <w:rFonts w:hint="default" w:ascii="Times New Roman" w:hAnsi="Times New Roman"/>
          <w:color w:val="auto"/>
        </w:rPr>
        <w:t>из sklearn: StandardScaler центрирует данные и приводит к единичной дисперсии; MinMaxScaler сжимает значения в диапазон [0, 1]; MaxAbsScaler масштабирует относительно максимального по модулю значения; RobustScaler использует медиану и межквартильный размах, что делает его устойчивым к выбросам. Для каждого результата строятся гистограммы с KDE, чтобы визуально сравнить форму распределений после трансформации.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Результаты работы представлены на рис. 3.</w:t>
      </w:r>
      <w:r>
        <w:rPr>
          <w:rFonts w:hint="default"/>
          <w:color w:val="auto"/>
          <w:lang w:val="en-US"/>
        </w:rPr>
        <w:t>3.1, 3.3.2, 3.3.3, 3.3.4.</w:t>
      </w:r>
    </w:p>
    <w:p w14:paraId="2929334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14415" cy="1480820"/>
            <wp:effectExtent l="0" t="0" r="12065" b="12700"/>
            <wp:docPr id="34" name="Изображение 34" descr="рис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рис3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57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3.3.1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применения </w:t>
      </w:r>
      <w:r>
        <w:rPr>
          <w:rFonts w:hint="default"/>
          <w:color w:val="auto"/>
          <w:lang w:val="en-US"/>
        </w:rPr>
        <w:t>StandartScaler.</w:t>
      </w:r>
    </w:p>
    <w:p w14:paraId="1226EA3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58C9FF8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18225" cy="1477010"/>
            <wp:effectExtent l="0" t="0" r="8255" b="1270"/>
            <wp:docPr id="35" name="Изображение 35" descr="рис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рис3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54F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</w:t>
      </w:r>
      <w:r>
        <w:rPr>
          <w:rFonts w:hint="default"/>
          <w:color w:val="auto"/>
          <w:lang w:val="en-US"/>
        </w:rPr>
        <w:t xml:space="preserve">2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применения </w:t>
      </w:r>
      <w:r>
        <w:rPr>
          <w:rFonts w:hint="default"/>
          <w:color w:val="auto"/>
          <w:lang w:val="en-US"/>
        </w:rPr>
        <w:t>MinMaxScaler.</w:t>
      </w:r>
    </w:p>
    <w:p w14:paraId="12229E4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6F085C6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14415" cy="1480820"/>
            <wp:effectExtent l="0" t="0" r="12065" b="12700"/>
            <wp:docPr id="36" name="Изображение 36" descr="рис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рис3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1D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</w:t>
      </w:r>
      <w:r>
        <w:rPr>
          <w:rFonts w:hint="default"/>
          <w:color w:val="auto"/>
          <w:lang w:val="en-US"/>
        </w:rPr>
        <w:t xml:space="preserve">3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применения </w:t>
      </w:r>
      <w:r>
        <w:rPr>
          <w:rFonts w:hint="default"/>
          <w:color w:val="auto"/>
          <w:lang w:val="en-US"/>
        </w:rPr>
        <w:t>MaxAbsScaler.</w:t>
      </w:r>
    </w:p>
    <w:p w14:paraId="6B45E99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7F00B62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14415" cy="1480820"/>
            <wp:effectExtent l="0" t="0" r="12065" b="12700"/>
            <wp:docPr id="37" name="Изображение 37" descr="рис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рис3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F9B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</w:t>
      </w:r>
      <w:r>
        <w:rPr>
          <w:rFonts w:hint="default"/>
          <w:color w:val="auto"/>
          <w:lang w:val="en-US"/>
        </w:rPr>
        <w:t xml:space="preserve">4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Результат применения </w:t>
      </w:r>
      <w:r>
        <w:rPr>
          <w:rFonts w:hint="default"/>
          <w:color w:val="auto"/>
          <w:lang w:val="en-US"/>
        </w:rPr>
        <w:t>RobustScaler.</w:t>
      </w:r>
    </w:p>
    <w:p w14:paraId="1CD61B1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</w:p>
    <w:p w14:paraId="34A3C3A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Сравним все </w:t>
      </w:r>
      <w:r>
        <w:rPr>
          <w:rFonts w:hint="default"/>
          <w:color w:val="auto"/>
          <w:lang w:val="en-US"/>
        </w:rPr>
        <w:t xml:space="preserve">scaler </w:t>
      </w:r>
      <w:r>
        <w:rPr>
          <w:rFonts w:hint="default"/>
          <w:color w:val="auto"/>
          <w:lang w:val="ru-RU"/>
        </w:rPr>
        <w:t>и проверим выбросы.</w:t>
      </w:r>
    </w:p>
    <w:p w14:paraId="7986D72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figsize=(5 * len(var_cols), 5))</w:t>
      </w:r>
    </w:p>
    <w:p w14:paraId="5832C88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4CD7489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 in range(len(var_cols)):</w:t>
      </w:r>
    </w:p>
    <w:p w14:paraId="0C1D8FB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for name, data_scaled in scaled_data.items():</w:t>
      </w:r>
    </w:p>
    <w:p w14:paraId="22E2DC0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    sns.kdeplot(data_scaled[:, i], ax=axs[i], label=name, lw=2)</w:t>
      </w:r>
    </w:p>
    <w:p w14:paraId="629DC04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axs[i].set_title(f'Var{i+1}')</w:t>
      </w:r>
    </w:p>
    <w:p w14:paraId="1E97850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axs[i].legend(fontsize=8)</w:t>
      </w:r>
    </w:p>
    <w:p w14:paraId="36679BC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2C9C99E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plt.suptitle('Сравнение scaler (ядерная оценка плотности)', fontsize=14)</w:t>
      </w:r>
    </w:p>
    <w:p w14:paraId="36B233D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5DE8F5B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0F54378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7570A2C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fig, axs = plt.subplots(1, len(var_cols), figsize=(4 * len(var_cols), 4))</w:t>
      </w:r>
    </w:p>
    <w:p w14:paraId="7448B04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for i, col in enumerate(var_cols):</w:t>
      </w:r>
    </w:p>
    <w:p w14:paraId="0EC82A4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sns.boxplot(y=data_pandas[col], ax=axs[i])</w:t>
      </w:r>
    </w:p>
    <w:p w14:paraId="76D3A73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 xml:space="preserve">    axs[i].set_title(col)</w:t>
      </w:r>
    </w:p>
    <w:p w14:paraId="79745ED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plt.suptitle('Оценка выбросов', fontsize=14)</w:t>
      </w:r>
    </w:p>
    <w:p w14:paraId="1C0E84B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plt.tight_layout()</w:t>
      </w:r>
    </w:p>
    <w:p w14:paraId="0B65916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2878675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29C0B20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Результаты работы представлены на рис. 3.3.5 и рис. 3.3.6.</w:t>
      </w:r>
    </w:p>
    <w:p w14:paraId="56DA64B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09970" cy="1210310"/>
            <wp:effectExtent l="0" t="0" r="1270" b="8890"/>
            <wp:docPr id="40" name="Изображение 40" descr="рис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рис3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724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3.3.5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Сравнение </w:t>
      </w:r>
      <w:r>
        <w:rPr>
          <w:rFonts w:hint="default"/>
          <w:color w:val="auto"/>
          <w:lang w:val="en-US"/>
        </w:rPr>
        <w:t>scaler.</w:t>
      </w:r>
    </w:p>
    <w:p w14:paraId="3538846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textAlignment w:val="auto"/>
        <w:rPr>
          <w:rFonts w:hint="default" w:ascii="Times New Roman" w:hAnsi="Times New Roman"/>
          <w:color w:val="auto"/>
          <w:lang w:val="ru-RU"/>
        </w:rPr>
      </w:pPr>
    </w:p>
    <w:p w14:paraId="68F9A9F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6113780" cy="1210945"/>
            <wp:effectExtent l="0" t="0" r="12700" b="8255"/>
            <wp:docPr id="41" name="Изображение 41" descr="рис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рис3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C2C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3.3.6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Оценка выбросов</w:t>
      </w:r>
      <w:r>
        <w:rPr>
          <w:rFonts w:hint="default"/>
          <w:color w:val="auto"/>
          <w:lang w:val="en-US"/>
        </w:rPr>
        <w:t>.</w:t>
      </w:r>
    </w:p>
    <w:p w14:paraId="17C7F3D3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78D99BF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Видим, что только у Var4 есть незначительный выброс, но в остальном все остальные данные имеют достаточно симметричные распределения.</w:t>
      </w:r>
    </w:p>
    <w:p w14:paraId="6F4ED6F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Поскольку у данных выбросов практически нет, а распределения относительно симметричны, лучше всего подходит StandartScaler. RobustScaler дал бы аналогичный результат, но, поскольку его используют для устойчивости к выбросам, с этими данными он не актуален, т. к. всего один выброс и он незначителен</w:t>
      </w:r>
      <w:bookmarkStart w:id="1" w:name="_GoBack"/>
      <w:bookmarkEnd w:id="1"/>
      <w:r>
        <w:rPr>
          <w:rFonts w:hint="default"/>
          <w:color w:val="auto"/>
          <w:lang w:val="ru-RU"/>
        </w:rPr>
        <w:t>. MinMaxScaler и MaxAbsScaler слишком сжимают данные.</w:t>
      </w:r>
    </w:p>
    <w:p w14:paraId="622B60AE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b/>
          <w:bCs/>
          <w:color w:val="auto"/>
        </w:rPr>
      </w:pPr>
      <w:r>
        <w:rPr>
          <w:rFonts w:hint="default" w:ascii="Times New Roman" w:hAnsi="Times New Roman"/>
          <w:b/>
          <w:bCs/>
          <w:color w:val="auto"/>
        </w:rPr>
        <w:t>4. Понижение размерности</w:t>
      </w:r>
    </w:p>
    <w:p w14:paraId="58FC85A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i/>
          <w:iCs/>
          <w:color w:val="auto"/>
        </w:rPr>
      </w:pPr>
      <w:r>
        <w:rPr>
          <w:rFonts w:hint="default" w:ascii="Times New Roman" w:hAnsi="Times New Roman"/>
          <w:i/>
          <w:iCs/>
          <w:color w:val="auto"/>
        </w:rPr>
        <w:t xml:space="preserve">4.1. PCA и </w:t>
      </w:r>
      <w:r>
        <w:rPr>
          <w:rFonts w:hint="default"/>
          <w:i/>
          <w:iCs/>
          <w:color w:val="auto"/>
          <w:lang w:val="en-US"/>
        </w:rPr>
        <w:t>T</w:t>
      </w:r>
      <w:r>
        <w:rPr>
          <w:rFonts w:hint="default" w:ascii="Times New Roman" w:hAnsi="Times New Roman"/>
          <w:i/>
          <w:iCs/>
          <w:color w:val="auto"/>
        </w:rPr>
        <w:t>SNE</w:t>
      </w:r>
    </w:p>
    <w:p w14:paraId="275F128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Оценим для PCA необходимое количество компонент для сохранения 90% информации:</w:t>
      </w:r>
    </w:p>
    <w:p w14:paraId="2019A06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from sklearn.decomposition import PCA</w:t>
      </w:r>
    </w:p>
    <w:p w14:paraId="587F02F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from sklearn.manifold import TSNE</w:t>
      </w:r>
    </w:p>
    <w:p w14:paraId="16126FCD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4CF54C7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pca = PCA()</w:t>
      </w:r>
    </w:p>
    <w:p w14:paraId="5BB73A0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pca.fit(data_numpy_array)</w:t>
      </w:r>
    </w:p>
    <w:p w14:paraId="3E807386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cumulative_variance = np.cumsum(pca.explained_variance_ratio_)</w:t>
      </w:r>
    </w:p>
    <w:p w14:paraId="0B9FABB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n_components_90 = np.argmax(cumulative_variance &gt;= 0.9) + 1</w:t>
      </w:r>
    </w:p>
    <w:p w14:paraId="191F4417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print("число компонент:", n_components_90)</w:t>
      </w:r>
    </w:p>
    <w:p w14:paraId="55D92B7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10C0982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работы представлен на рис. 4.1.1.</w:t>
      </w:r>
    </w:p>
    <w:p w14:paraId="5B1D22D9">
      <w:pPr>
        <w:pStyle w:val="28"/>
        <w:numPr>
          <w:ilvl w:val="0"/>
          <w:numId w:val="0"/>
        </w:numPr>
        <w:bidi w:val="0"/>
        <w:ind w:leftChars="125"/>
        <w:rPr>
          <w:rFonts w:hint="default"/>
          <w:color w:val="auto"/>
          <w:lang w:val="ru-RU"/>
        </w:rPr>
      </w:pPr>
    </w:p>
    <w:p w14:paraId="024D11A7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1120140" cy="289560"/>
            <wp:effectExtent l="0" t="0" r="7620" b="0"/>
            <wp:docPr id="43" name="Изображение 43" descr="рис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рис4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7842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4.1.1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>Результат вычисления числа компонент</w:t>
      </w:r>
      <w:r>
        <w:rPr>
          <w:rFonts w:hint="default"/>
          <w:color w:val="auto"/>
          <w:lang w:val="en-US"/>
        </w:rPr>
        <w:t>.</w:t>
      </w:r>
    </w:p>
    <w:p w14:paraId="02208CBA">
      <w:pPr>
        <w:pStyle w:val="28"/>
        <w:numPr>
          <w:ilvl w:val="0"/>
          <w:numId w:val="0"/>
        </w:numPr>
        <w:bidi w:val="0"/>
        <w:ind w:leftChars="125"/>
        <w:rPr>
          <w:rFonts w:hint="default" w:ascii="Times New Roman" w:hAnsi="Times New Roman"/>
          <w:color w:val="auto"/>
          <w:lang w:val="ru-RU"/>
        </w:rPr>
      </w:pPr>
    </w:p>
    <w:p w14:paraId="513208E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Построим диаграммы рассеяния для PCA и TSNE:</w:t>
      </w:r>
    </w:p>
    <w:p w14:paraId="6F130E4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pca_2d = PCA(n_components=2)</w:t>
      </w:r>
    </w:p>
    <w:p w14:paraId="43C0217C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data_pca = pca_2d.fit_transform(data_numpy_array)</w:t>
      </w:r>
    </w:p>
    <w:p w14:paraId="42C857E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plt.figure()</w:t>
      </w:r>
    </w:p>
    <w:p w14:paraId="0A40A5CA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sns.scatterplot(x=data_pca[:,0], y=data_pca[:,1], hue=labels, palette='Set1')</w:t>
      </w:r>
    </w:p>
    <w:p w14:paraId="6C6A07F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plt.title("PCA")</w:t>
      </w:r>
    </w:p>
    <w:p w14:paraId="10CBD309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2DEB3B84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79884C40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tsne = TSNE(n_components=2)</w:t>
      </w:r>
    </w:p>
    <w:p w14:paraId="588C3DC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data_tsne = tsne.fit_transform(data_numpy_array)</w:t>
      </w:r>
    </w:p>
    <w:p w14:paraId="1F2A2F5B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plt.figure()</w:t>
      </w:r>
    </w:p>
    <w:p w14:paraId="6B9E098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sns.scatterplot(x=data_tsne[:,0], y=data_tsne[:,1], hue=labels, palette='Set1')</w:t>
      </w:r>
    </w:p>
    <w:p w14:paraId="3510F20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plt.title("TSNE")</w:t>
      </w:r>
    </w:p>
    <w:p w14:paraId="41E28555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  <w:r>
        <w:rPr>
          <w:rFonts w:hint="default" w:ascii="Courier New" w:hAnsi="Courier New" w:cs="Courier New"/>
          <w:color w:val="auto"/>
          <w:sz w:val="20"/>
          <w:szCs w:val="20"/>
        </w:rPr>
        <w:t>plt.show()</w:t>
      </w:r>
    </w:p>
    <w:p w14:paraId="45BEC8F2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</w:rPr>
      </w:pPr>
    </w:p>
    <w:p w14:paraId="0B8E6378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Результаты работы представлены на рис. 4.1.2, 4.1.3.</w:t>
      </w:r>
    </w:p>
    <w:p w14:paraId="6B6F376F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4935855" cy="3944620"/>
            <wp:effectExtent l="0" t="0" r="1905" b="2540"/>
            <wp:docPr id="49" name="Изображение 49" descr="рис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 descr="рис4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A80E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/>
          <w:color w:val="auto"/>
          <w:lang w:val="en-US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4.1.2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Диаграмма </w:t>
      </w:r>
      <w:r>
        <w:rPr>
          <w:rFonts w:hint="default" w:ascii="Times New Roman" w:hAnsi="Times New Roman"/>
          <w:color w:val="auto"/>
        </w:rPr>
        <w:t xml:space="preserve">рассеяния </w:t>
      </w:r>
      <w:r>
        <w:rPr>
          <w:rFonts w:hint="default"/>
          <w:color w:val="auto"/>
          <w:lang w:val="en-US"/>
        </w:rPr>
        <w:t>PCA.</w:t>
      </w:r>
    </w:p>
    <w:p w14:paraId="790D83C0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/>
          <w:color w:val="auto"/>
          <w:lang w:val="ru-RU"/>
        </w:rPr>
      </w:pPr>
    </w:p>
    <w:p w14:paraId="7A0066C5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drawing>
          <wp:inline distT="0" distB="0" distL="114300" distR="114300">
            <wp:extent cx="4469765" cy="3506470"/>
            <wp:effectExtent l="0" t="0" r="10795" b="13970"/>
            <wp:docPr id="50" name="Изображение 50" descr="рис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 descr="рис4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E0A3">
      <w:pPr>
        <w:pStyle w:val="28"/>
        <w:numPr>
          <w:ilvl w:val="0"/>
          <w:numId w:val="0"/>
        </w:numPr>
        <w:bidi w:val="0"/>
        <w:ind w:leftChars="125"/>
        <w:jc w:val="center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 xml:space="preserve">Рисунок </w:t>
      </w:r>
      <w:r>
        <w:rPr>
          <w:rFonts w:hint="default"/>
          <w:color w:val="auto"/>
          <w:lang w:val="ru-RU"/>
        </w:rPr>
        <w:t>4.1.3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-</w:t>
      </w:r>
      <w:r>
        <w:rPr>
          <w:rFonts w:hint="default" w:ascii="Times New Roman" w:hAnsi="Times New Roman"/>
          <w:color w:val="auto"/>
        </w:rPr>
        <w:t xml:space="preserve"> </w:t>
      </w:r>
      <w:r>
        <w:rPr>
          <w:rFonts w:hint="default"/>
          <w:color w:val="auto"/>
          <w:lang w:val="ru-RU"/>
        </w:rPr>
        <w:t xml:space="preserve">Диаграмма </w:t>
      </w:r>
      <w:r>
        <w:rPr>
          <w:rFonts w:hint="default" w:ascii="Times New Roman" w:hAnsi="Times New Roman"/>
          <w:color w:val="auto"/>
        </w:rPr>
        <w:t xml:space="preserve">рассеяния </w:t>
      </w:r>
      <w:r>
        <w:rPr>
          <w:rFonts w:hint="default"/>
          <w:color w:val="auto"/>
          <w:lang w:val="en-US"/>
        </w:rPr>
        <w:t>TSNE.</w:t>
      </w:r>
    </w:p>
    <w:p w14:paraId="586D270C">
      <w:pPr>
        <w:pStyle w:val="28"/>
        <w:numPr>
          <w:ilvl w:val="0"/>
          <w:numId w:val="0"/>
        </w:numPr>
        <w:bidi w:val="0"/>
        <w:ind w:leftChars="125"/>
        <w:rPr>
          <w:rFonts w:hint="default" w:ascii="Times New Roman" w:hAnsi="Times New Roman" w:cs="Times New Roman"/>
          <w:color w:val="auto"/>
        </w:rPr>
      </w:pPr>
    </w:p>
    <w:p w14:paraId="51ED12A1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Для сохранения 90% информации в PCA оказалось достаточно 3 компонент из 5, что говорит о наличии корреляций между признаками и возможности сокращения размерности без серь</w:t>
      </w:r>
      <w:r>
        <w:rPr>
          <w:rFonts w:hint="default" w:cs="Times New Roman"/>
          <w:color w:val="auto"/>
          <w:lang w:val="ru-RU"/>
        </w:rPr>
        <w:t>е</w:t>
      </w:r>
      <w:r>
        <w:rPr>
          <w:rFonts w:hint="default" w:ascii="Times New Roman" w:hAnsi="Times New Roman" w:cs="Times New Roman"/>
          <w:color w:val="auto"/>
        </w:rPr>
        <w:t xml:space="preserve">зных потерь. На двумерной проекции PCA классы частично разделяются, особенно Class1 и Class2, однако границы остаются размытыми. </w:t>
      </w:r>
      <w:r>
        <w:rPr>
          <w:rFonts w:hint="default" w:cs="Times New Roman"/>
          <w:color w:val="auto"/>
          <w:lang w:val="en-US"/>
        </w:rPr>
        <w:t>T</w:t>
      </w:r>
      <w:r>
        <w:rPr>
          <w:rFonts w:hint="default" w:ascii="Times New Roman" w:hAnsi="Times New Roman" w:cs="Times New Roman"/>
          <w:color w:val="auto"/>
        </w:rPr>
        <w:t>SNE, в отличие от PCA, лучше выделяет локальные структуры: на его графике классы образуют более компактные и отдел</w:t>
      </w:r>
      <w:r>
        <w:rPr>
          <w:rFonts w:hint="default" w:cs="Times New Roman"/>
          <w:color w:val="auto"/>
          <w:lang w:val="ru-RU"/>
        </w:rPr>
        <w:t>е</w:t>
      </w:r>
      <w:r>
        <w:rPr>
          <w:rFonts w:hint="default" w:ascii="Times New Roman" w:hAnsi="Times New Roman" w:cs="Times New Roman"/>
          <w:color w:val="auto"/>
        </w:rPr>
        <w:t>нные кластеры, но</w:t>
      </w:r>
      <w:r>
        <w:rPr>
          <w:rFonts w:hint="default" w:cs="Times New Roman"/>
          <w:color w:val="auto"/>
          <w:lang w:val="en-US"/>
        </w:rPr>
        <w:t xml:space="preserve"> T</w:t>
      </w:r>
      <w:r>
        <w:rPr>
          <w:rFonts w:hint="default" w:ascii="Times New Roman" w:hAnsi="Times New Roman" w:cs="Times New Roman"/>
          <w:color w:val="auto"/>
        </w:rPr>
        <w:t>SNE не сохраняет глобальные расстояния и масштабы, поэтому его результаты интерпретируются только визуально.</w:t>
      </w:r>
    </w:p>
    <w:p w14:paraId="4E83060F">
      <w:pPr>
        <w:pStyle w:val="2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cs="Times New Roman"/>
          <w:color w:val="auto"/>
          <w:lang w:val="ru-RU"/>
        </w:rPr>
        <w:t>Ссылка на полный код находится в Приложении.</w:t>
      </w:r>
      <w:r>
        <w:rPr>
          <w:rFonts w:hint="default" w:ascii="Times New Roman" w:hAnsi="Times New Roman" w:cs="Times New Roman"/>
          <w:color w:val="auto"/>
        </w:rPr>
        <w:br w:type="page"/>
      </w:r>
    </w:p>
    <w:p w14:paraId="34A5F787">
      <w:pPr>
        <w:pStyle w:val="3"/>
        <w:numPr>
          <w:ilvl w:val="0"/>
          <w:numId w:val="0"/>
        </w:numPr>
        <w:bidi w:val="0"/>
        <w:spacing w:before="0" w:after="120" w:line="360" w:lineRule="auto"/>
        <w:ind w:lef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Выводы</w:t>
      </w:r>
    </w:p>
    <w:p w14:paraId="3ED2F89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>В ходе выполнения лабораторной работы был</w:t>
      </w:r>
      <w:r>
        <w:rPr>
          <w:rFonts w:hint="default"/>
          <w:color w:val="auto"/>
          <w:lang w:val="ru-RU"/>
        </w:rPr>
        <w:t>а</w:t>
      </w:r>
      <w:r>
        <w:rPr>
          <w:rFonts w:hint="default" w:ascii="Times New Roman" w:hAnsi="Times New Roman"/>
          <w:color w:val="auto"/>
        </w:rPr>
        <w:t xml:space="preserve"> провед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н</w:t>
      </w:r>
      <w:r>
        <w:rPr>
          <w:rFonts w:hint="default"/>
          <w:color w:val="auto"/>
          <w:lang w:val="ru-RU"/>
        </w:rPr>
        <w:t>а</w:t>
      </w:r>
      <w:r>
        <w:rPr>
          <w:rFonts w:hint="default" w:ascii="Times New Roman" w:hAnsi="Times New Roman"/>
          <w:color w:val="auto"/>
        </w:rPr>
        <w:t xml:space="preserve"> предобработк</w:t>
      </w:r>
      <w:r>
        <w:rPr>
          <w:rFonts w:hint="default"/>
          <w:color w:val="auto"/>
          <w:lang w:val="ru-RU"/>
        </w:rPr>
        <w:t xml:space="preserve">а </w:t>
      </w:r>
      <w:r>
        <w:rPr>
          <w:rFonts w:hint="default" w:ascii="Times New Roman" w:hAnsi="Times New Roman"/>
          <w:color w:val="auto"/>
        </w:rPr>
        <w:t>данных. На этапе анализа установлено, что набор из 700 наблюдений не содержит пропусков, признаки имеют различный масштаб</w:t>
      </w:r>
      <w:r>
        <w:rPr>
          <w:rFonts w:hint="default"/>
          <w:color w:val="auto"/>
          <w:lang w:val="ru-RU"/>
        </w:rPr>
        <w:t xml:space="preserve"> и </w:t>
      </w:r>
      <w:r>
        <w:rPr>
          <w:rFonts w:hint="default" w:ascii="Times New Roman" w:hAnsi="Times New Roman"/>
          <w:color w:val="auto"/>
        </w:rPr>
        <w:t>распределение классов неравномерно. Визуализация через PairGrid и гистограммы с KDE показала, что признаки Var1, Var2 и Var5 несут наибольшую информацию для разделения классов, тогда как Var3 и Var4 менее информативны. Классы не являются линейно разделимыми в исходном пространстве</w:t>
      </w:r>
      <w:r>
        <w:rPr>
          <w:rFonts w:hint="default"/>
          <w:color w:val="auto"/>
          <w:lang w:val="ru-RU"/>
        </w:rPr>
        <w:t>.</w:t>
      </w:r>
    </w:p>
    <w:p w14:paraId="7D2FF22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</w:rPr>
      </w:pPr>
      <w:r>
        <w:rPr>
          <w:rFonts w:hint="default" w:ascii="Times New Roman" w:hAnsi="Times New Roman"/>
          <w:color w:val="auto"/>
        </w:rPr>
        <w:t>При преобразовании данных продемонстрированы различия между LabelEncoder и OneHotEncoder: для целевой переменной в задаче классификации достаточно целочисленного кодирования. Сравнение четыр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х методов масштабирования показало, что StandardScaler является универсальным выбором для данного набора, однако при наличии выбросов предпочтительнее RobustScaler.</w:t>
      </w:r>
    </w:p>
    <w:p w14:paraId="4D539CE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</w:rPr>
        <w:t xml:space="preserve">Методы понижения размерности подтвердили выводы визуального анализа: PCA позволяет сократить размерность до 3 компонент с сохранением 90% дисперсии, а </w:t>
      </w:r>
      <w:r>
        <w:rPr>
          <w:rFonts w:hint="default"/>
          <w:color w:val="auto"/>
          <w:lang w:val="en-US"/>
        </w:rPr>
        <w:t>T</w:t>
      </w:r>
      <w:r>
        <w:rPr>
          <w:rFonts w:hint="default" w:ascii="Times New Roman" w:hAnsi="Times New Roman"/>
          <w:color w:val="auto"/>
        </w:rPr>
        <w:t>SNE да</w:t>
      </w:r>
      <w:r>
        <w:rPr>
          <w:rFonts w:hint="default"/>
          <w:color w:val="auto"/>
          <w:lang w:val="ru-RU"/>
        </w:rPr>
        <w:t>е</w:t>
      </w:r>
      <w:r>
        <w:rPr>
          <w:rFonts w:hint="default" w:ascii="Times New Roman" w:hAnsi="Times New Roman"/>
          <w:color w:val="auto"/>
        </w:rPr>
        <w:t>т более наглядное разделение классов в двумерном пространстве</w:t>
      </w:r>
      <w:r>
        <w:rPr>
          <w:rFonts w:hint="default"/>
          <w:color w:val="auto"/>
          <w:lang w:val="ru-RU"/>
        </w:rPr>
        <w:t>.</w:t>
      </w:r>
    </w:p>
    <w:p w14:paraId="257F91D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34B3436D">
      <w:pPr>
        <w:pStyle w:val="2"/>
        <w:bidi w:val="0"/>
        <w:spacing w:before="0" w:after="0"/>
        <w:rPr>
          <w:rStyle w:val="24"/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ПРИЛОЖЕНИЕ</w:t>
      </w:r>
    </w:p>
    <w:p w14:paraId="32040A1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Style w:val="24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Ссылка на код: </w:t>
      </w:r>
      <w:r>
        <w:rPr>
          <w:rStyle w:val="24"/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https://colab.research.google.com/drive/1VccSA7FlV5I_RWT78_HRzCPZnfX8KbsT?usp=sharing.</w:t>
      </w:r>
    </w:p>
    <w:sectPr>
      <w:footerReference r:id="rId4" w:type="default"/>
      <w:footerReference r:id="rId5" w:type="even"/>
      <w:pgSz w:w="11906" w:h="16838"/>
      <w:pgMar w:top="1134" w:right="1134" w:bottom="1134" w:left="1134" w:header="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CC"/>
    <w:family w:val="auto"/>
    <w:pitch w:val="default"/>
    <w:sig w:usb0="E0000AFF" w:usb1="400078FF" w:usb2="00000001" w:usb3="00000000" w:csb0="600001BF" w:csb1="DFF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1FB9E">
    <w:pPr>
      <w:pStyle w:val="18"/>
      <w:bidi w:val="0"/>
      <w:jc w:val="right"/>
      <w:rPr>
        <w:rFonts w:ascii="Times New Roman" w:hAnsi="Times New Roman"/>
        <w:color w:val="000000"/>
        <w:highlight w:val="none"/>
        <w:shd w:val="clear" w:fill="auto"/>
      </w:rPr>
    </w:pPr>
    <w:bookmarkStart w:id="0" w:name="PageNumWizard_FOOTER_Базовый2"/>
    <w:r>
      <w:rPr>
        <w:rFonts w:ascii="Times New Roman" w:hAnsi="Times New Roman"/>
        <w:color w:val="000000"/>
        <w:shd w:val="clear" w:fill="auto"/>
      </w:rPr>
      <w:fldChar w:fldCharType="begin"/>
    </w:r>
    <w:r>
      <w:rPr>
        <w:rFonts w:ascii="Times New Roman" w:hAnsi="Times New Roman"/>
        <w:color w:val="000000"/>
        <w:shd w:val="clear" w:fill="auto"/>
      </w:rPr>
      <w:instrText xml:space="preserve"> PAGE </w:instrText>
    </w:r>
    <w:r>
      <w:rPr>
        <w:rFonts w:ascii="Times New Roman" w:hAnsi="Times New Roman"/>
        <w:color w:val="000000"/>
        <w:shd w:val="clear" w:fill="auto"/>
      </w:rPr>
      <w:fldChar w:fldCharType="separate"/>
    </w:r>
    <w:r>
      <w:rPr>
        <w:rFonts w:ascii="Times New Roman" w:hAnsi="Times New Roman"/>
        <w:color w:val="000000"/>
        <w:shd w:val="clear" w:fill="auto"/>
      </w:rPr>
      <w:t>31</w:t>
    </w:r>
    <w:r>
      <w:rPr>
        <w:rFonts w:ascii="Times New Roman" w:hAnsi="Times New Roman"/>
        <w:color w:val="000000"/>
        <w:shd w:val="clear" w:fill="auto"/>
      </w:rPr>
      <w:fldChar w:fldCharType="end"/>
    </w:r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AEC4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B2EDD"/>
    <w:multiLevelType w:val="singleLevel"/>
    <w:tmpl w:val="93DB2E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>
    <w:nsid w:val="DC63707E"/>
    <w:multiLevelType w:val="singleLevel"/>
    <w:tmpl w:val="DC63707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F2EDA80"/>
    <w:multiLevelType w:val="singleLevel"/>
    <w:tmpl w:val="EF2EDA80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56290B64"/>
    <w:multiLevelType w:val="multilevel"/>
    <w:tmpl w:val="56290B6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62F59"/>
    <w:rsid w:val="01B979F0"/>
    <w:rsid w:val="01BE7A2D"/>
    <w:rsid w:val="023A4A98"/>
    <w:rsid w:val="02492A4E"/>
    <w:rsid w:val="02D815BB"/>
    <w:rsid w:val="03E157B9"/>
    <w:rsid w:val="04165E30"/>
    <w:rsid w:val="04187EF1"/>
    <w:rsid w:val="051B6538"/>
    <w:rsid w:val="057264E2"/>
    <w:rsid w:val="05B706DA"/>
    <w:rsid w:val="05D9472B"/>
    <w:rsid w:val="05FE3538"/>
    <w:rsid w:val="060A6598"/>
    <w:rsid w:val="067642A4"/>
    <w:rsid w:val="068E15D0"/>
    <w:rsid w:val="06AB6CE5"/>
    <w:rsid w:val="06AC4160"/>
    <w:rsid w:val="06CA322B"/>
    <w:rsid w:val="072F0852"/>
    <w:rsid w:val="073C7ECE"/>
    <w:rsid w:val="07F0648C"/>
    <w:rsid w:val="0841548D"/>
    <w:rsid w:val="087B5EEA"/>
    <w:rsid w:val="08B17BE1"/>
    <w:rsid w:val="08D821F8"/>
    <w:rsid w:val="08EB166E"/>
    <w:rsid w:val="090F7A18"/>
    <w:rsid w:val="09A76BE4"/>
    <w:rsid w:val="0B264AD7"/>
    <w:rsid w:val="0B5C1CED"/>
    <w:rsid w:val="0B79138A"/>
    <w:rsid w:val="0CE63355"/>
    <w:rsid w:val="0D4F544E"/>
    <w:rsid w:val="0DD20D93"/>
    <w:rsid w:val="0DD27C3B"/>
    <w:rsid w:val="0EAF071F"/>
    <w:rsid w:val="0F377D05"/>
    <w:rsid w:val="0FFB5CFF"/>
    <w:rsid w:val="100E52E5"/>
    <w:rsid w:val="10AF15EB"/>
    <w:rsid w:val="10C47C87"/>
    <w:rsid w:val="11191686"/>
    <w:rsid w:val="11C17E0C"/>
    <w:rsid w:val="11D61ADA"/>
    <w:rsid w:val="11F3050A"/>
    <w:rsid w:val="12043F90"/>
    <w:rsid w:val="125964D4"/>
    <w:rsid w:val="12954B76"/>
    <w:rsid w:val="134F252E"/>
    <w:rsid w:val="140F6AF9"/>
    <w:rsid w:val="14792DC1"/>
    <w:rsid w:val="149A37CE"/>
    <w:rsid w:val="149F0CDC"/>
    <w:rsid w:val="156C587E"/>
    <w:rsid w:val="15DD05F3"/>
    <w:rsid w:val="15EE3DE8"/>
    <w:rsid w:val="16B7304C"/>
    <w:rsid w:val="16DD35BE"/>
    <w:rsid w:val="17134E98"/>
    <w:rsid w:val="17711490"/>
    <w:rsid w:val="177723CD"/>
    <w:rsid w:val="17976BD3"/>
    <w:rsid w:val="179C6CCA"/>
    <w:rsid w:val="18335F1D"/>
    <w:rsid w:val="18CE7660"/>
    <w:rsid w:val="19AE19D0"/>
    <w:rsid w:val="1A113680"/>
    <w:rsid w:val="1A4E6668"/>
    <w:rsid w:val="1A7D2A17"/>
    <w:rsid w:val="1AED56D7"/>
    <w:rsid w:val="1C2B76F0"/>
    <w:rsid w:val="1CA57BB3"/>
    <w:rsid w:val="1D1678EB"/>
    <w:rsid w:val="1D4A48ED"/>
    <w:rsid w:val="1D775939"/>
    <w:rsid w:val="1D8475BB"/>
    <w:rsid w:val="1DDE447D"/>
    <w:rsid w:val="1E0770D5"/>
    <w:rsid w:val="1E3A79B9"/>
    <w:rsid w:val="1E6F19F0"/>
    <w:rsid w:val="1E882E47"/>
    <w:rsid w:val="1F662261"/>
    <w:rsid w:val="20844D23"/>
    <w:rsid w:val="20D46BD0"/>
    <w:rsid w:val="21717AB6"/>
    <w:rsid w:val="21880230"/>
    <w:rsid w:val="21A24A90"/>
    <w:rsid w:val="21F47225"/>
    <w:rsid w:val="22A92FC0"/>
    <w:rsid w:val="22FE3737"/>
    <w:rsid w:val="23512270"/>
    <w:rsid w:val="23744664"/>
    <w:rsid w:val="243759EB"/>
    <w:rsid w:val="24871678"/>
    <w:rsid w:val="24CA00B9"/>
    <w:rsid w:val="25012D45"/>
    <w:rsid w:val="25016B56"/>
    <w:rsid w:val="251E582B"/>
    <w:rsid w:val="25A36DFE"/>
    <w:rsid w:val="25AF508D"/>
    <w:rsid w:val="25B91D14"/>
    <w:rsid w:val="25ED3C47"/>
    <w:rsid w:val="25F05314"/>
    <w:rsid w:val="25F4524D"/>
    <w:rsid w:val="2608103F"/>
    <w:rsid w:val="2619636E"/>
    <w:rsid w:val="26E47949"/>
    <w:rsid w:val="275A6935"/>
    <w:rsid w:val="276969B7"/>
    <w:rsid w:val="278B5B7D"/>
    <w:rsid w:val="278F1E9D"/>
    <w:rsid w:val="27A75422"/>
    <w:rsid w:val="27AC35F6"/>
    <w:rsid w:val="27B01597"/>
    <w:rsid w:val="298E38FB"/>
    <w:rsid w:val="2A5C7076"/>
    <w:rsid w:val="2CB63A29"/>
    <w:rsid w:val="2D697283"/>
    <w:rsid w:val="2DE54AA3"/>
    <w:rsid w:val="2E0F1AF1"/>
    <w:rsid w:val="2EBE021F"/>
    <w:rsid w:val="2EE030CB"/>
    <w:rsid w:val="2F471420"/>
    <w:rsid w:val="303E20F3"/>
    <w:rsid w:val="31265F95"/>
    <w:rsid w:val="317A5CA9"/>
    <w:rsid w:val="31F04AEF"/>
    <w:rsid w:val="320668F8"/>
    <w:rsid w:val="322701D4"/>
    <w:rsid w:val="32797756"/>
    <w:rsid w:val="32C70C66"/>
    <w:rsid w:val="3300154C"/>
    <w:rsid w:val="33D60EDF"/>
    <w:rsid w:val="342B5426"/>
    <w:rsid w:val="3471511C"/>
    <w:rsid w:val="347F60A0"/>
    <w:rsid w:val="34B95DEC"/>
    <w:rsid w:val="35B81867"/>
    <w:rsid w:val="361F528B"/>
    <w:rsid w:val="36266C69"/>
    <w:rsid w:val="363E629F"/>
    <w:rsid w:val="36D76309"/>
    <w:rsid w:val="371D6DB8"/>
    <w:rsid w:val="372A0312"/>
    <w:rsid w:val="386373D1"/>
    <w:rsid w:val="386B5CD0"/>
    <w:rsid w:val="386B6319"/>
    <w:rsid w:val="39380C47"/>
    <w:rsid w:val="3951663B"/>
    <w:rsid w:val="39A418DB"/>
    <w:rsid w:val="39C21667"/>
    <w:rsid w:val="3A460EE8"/>
    <w:rsid w:val="3AEA1A5A"/>
    <w:rsid w:val="3B1859CB"/>
    <w:rsid w:val="3B2D0DE5"/>
    <w:rsid w:val="3B4A4E79"/>
    <w:rsid w:val="3C3519B4"/>
    <w:rsid w:val="3CC970A4"/>
    <w:rsid w:val="3D1547FE"/>
    <w:rsid w:val="3D4C616C"/>
    <w:rsid w:val="3D954166"/>
    <w:rsid w:val="3E6160A3"/>
    <w:rsid w:val="3E9142B7"/>
    <w:rsid w:val="3F9A2B1B"/>
    <w:rsid w:val="3FD665B1"/>
    <w:rsid w:val="3FE07D28"/>
    <w:rsid w:val="3FE714D8"/>
    <w:rsid w:val="3FF646A9"/>
    <w:rsid w:val="409311FD"/>
    <w:rsid w:val="410D4F94"/>
    <w:rsid w:val="412A6E35"/>
    <w:rsid w:val="413305D7"/>
    <w:rsid w:val="41540198"/>
    <w:rsid w:val="418F6798"/>
    <w:rsid w:val="419D5893"/>
    <w:rsid w:val="41A04BF1"/>
    <w:rsid w:val="41C2403E"/>
    <w:rsid w:val="425556E0"/>
    <w:rsid w:val="427513F0"/>
    <w:rsid w:val="43190C0E"/>
    <w:rsid w:val="44233AAA"/>
    <w:rsid w:val="44477C42"/>
    <w:rsid w:val="448562F0"/>
    <w:rsid w:val="45230D51"/>
    <w:rsid w:val="45261EA6"/>
    <w:rsid w:val="45505841"/>
    <w:rsid w:val="461D6A66"/>
    <w:rsid w:val="46E1771B"/>
    <w:rsid w:val="46FC66F1"/>
    <w:rsid w:val="479A0AB6"/>
    <w:rsid w:val="47FD50B0"/>
    <w:rsid w:val="48673082"/>
    <w:rsid w:val="489A09C7"/>
    <w:rsid w:val="48A851CF"/>
    <w:rsid w:val="490B55D4"/>
    <w:rsid w:val="4924500F"/>
    <w:rsid w:val="49521494"/>
    <w:rsid w:val="496A7946"/>
    <w:rsid w:val="498A79D0"/>
    <w:rsid w:val="498C242D"/>
    <w:rsid w:val="4AAD2385"/>
    <w:rsid w:val="4B2F60E9"/>
    <w:rsid w:val="4BEE75D6"/>
    <w:rsid w:val="4BFF2F3E"/>
    <w:rsid w:val="4C031F48"/>
    <w:rsid w:val="4C444535"/>
    <w:rsid w:val="4CE53AF9"/>
    <w:rsid w:val="4D8031C4"/>
    <w:rsid w:val="4E254B52"/>
    <w:rsid w:val="4EB47CF7"/>
    <w:rsid w:val="4ED90558"/>
    <w:rsid w:val="4F382EBB"/>
    <w:rsid w:val="4F543085"/>
    <w:rsid w:val="4F7401C7"/>
    <w:rsid w:val="4FA21C82"/>
    <w:rsid w:val="507576E1"/>
    <w:rsid w:val="51345589"/>
    <w:rsid w:val="51666ADF"/>
    <w:rsid w:val="5208052E"/>
    <w:rsid w:val="52753E57"/>
    <w:rsid w:val="52FF3EB1"/>
    <w:rsid w:val="53184E30"/>
    <w:rsid w:val="5333142C"/>
    <w:rsid w:val="5402134B"/>
    <w:rsid w:val="541E5E24"/>
    <w:rsid w:val="54CE554E"/>
    <w:rsid w:val="55B15523"/>
    <w:rsid w:val="55B64828"/>
    <w:rsid w:val="56535D81"/>
    <w:rsid w:val="56961354"/>
    <w:rsid w:val="56A41633"/>
    <w:rsid w:val="56F51E67"/>
    <w:rsid w:val="57221F02"/>
    <w:rsid w:val="575C72E7"/>
    <w:rsid w:val="580A6CB2"/>
    <w:rsid w:val="581F309E"/>
    <w:rsid w:val="5873467A"/>
    <w:rsid w:val="58AC2F31"/>
    <w:rsid w:val="59633ADC"/>
    <w:rsid w:val="5A594BE0"/>
    <w:rsid w:val="5A5B1CAC"/>
    <w:rsid w:val="5A7E5466"/>
    <w:rsid w:val="5B2D58EE"/>
    <w:rsid w:val="5B312A2C"/>
    <w:rsid w:val="5B3E7740"/>
    <w:rsid w:val="5B7F65A8"/>
    <w:rsid w:val="5B8F35CE"/>
    <w:rsid w:val="5C3967DB"/>
    <w:rsid w:val="5D6F2B20"/>
    <w:rsid w:val="5D8131F5"/>
    <w:rsid w:val="5E474816"/>
    <w:rsid w:val="5EC16C7E"/>
    <w:rsid w:val="5F162F24"/>
    <w:rsid w:val="5F7B2342"/>
    <w:rsid w:val="5FC87E68"/>
    <w:rsid w:val="60B17DC5"/>
    <w:rsid w:val="60DD718A"/>
    <w:rsid w:val="60EE553E"/>
    <w:rsid w:val="610B4A42"/>
    <w:rsid w:val="61367D7D"/>
    <w:rsid w:val="61874C5D"/>
    <w:rsid w:val="62263CE3"/>
    <w:rsid w:val="623600B0"/>
    <w:rsid w:val="625B5339"/>
    <w:rsid w:val="6419277A"/>
    <w:rsid w:val="64477DEC"/>
    <w:rsid w:val="64A76E0D"/>
    <w:rsid w:val="64BC19DC"/>
    <w:rsid w:val="65254B81"/>
    <w:rsid w:val="654261BD"/>
    <w:rsid w:val="656266CE"/>
    <w:rsid w:val="65C864B9"/>
    <w:rsid w:val="65EE50B2"/>
    <w:rsid w:val="65FE62E7"/>
    <w:rsid w:val="668F0BF1"/>
    <w:rsid w:val="66CD03B4"/>
    <w:rsid w:val="671F0D25"/>
    <w:rsid w:val="67897310"/>
    <w:rsid w:val="68ED354F"/>
    <w:rsid w:val="69D110FC"/>
    <w:rsid w:val="69F85C4B"/>
    <w:rsid w:val="6A165D5E"/>
    <w:rsid w:val="6A7259FE"/>
    <w:rsid w:val="6AD17D83"/>
    <w:rsid w:val="6B277CD9"/>
    <w:rsid w:val="6C2A54D6"/>
    <w:rsid w:val="6CCE5FAE"/>
    <w:rsid w:val="6CD813CF"/>
    <w:rsid w:val="6D34692C"/>
    <w:rsid w:val="6D4337BC"/>
    <w:rsid w:val="6D4D71CE"/>
    <w:rsid w:val="6D8C327A"/>
    <w:rsid w:val="6D9506A9"/>
    <w:rsid w:val="6E9E7011"/>
    <w:rsid w:val="6F0F2ADE"/>
    <w:rsid w:val="6F584A22"/>
    <w:rsid w:val="70057BD7"/>
    <w:rsid w:val="703E239F"/>
    <w:rsid w:val="708B50C7"/>
    <w:rsid w:val="71DD71DE"/>
    <w:rsid w:val="72C15A0C"/>
    <w:rsid w:val="72C32D50"/>
    <w:rsid w:val="730A6E69"/>
    <w:rsid w:val="746242BC"/>
    <w:rsid w:val="74A9774F"/>
    <w:rsid w:val="75C614FA"/>
    <w:rsid w:val="766072A7"/>
    <w:rsid w:val="76AF6233"/>
    <w:rsid w:val="76F1107A"/>
    <w:rsid w:val="773C07FC"/>
    <w:rsid w:val="775016D2"/>
    <w:rsid w:val="77545CF4"/>
    <w:rsid w:val="77753BCB"/>
    <w:rsid w:val="784A2957"/>
    <w:rsid w:val="78593A06"/>
    <w:rsid w:val="78831417"/>
    <w:rsid w:val="78FB568C"/>
    <w:rsid w:val="79186D40"/>
    <w:rsid w:val="79190905"/>
    <w:rsid w:val="7A060D57"/>
    <w:rsid w:val="7A7D4E1C"/>
    <w:rsid w:val="7ABC3654"/>
    <w:rsid w:val="7BDC43CC"/>
    <w:rsid w:val="7C1A1A29"/>
    <w:rsid w:val="7C95774C"/>
    <w:rsid w:val="7D003531"/>
    <w:rsid w:val="7D401CB4"/>
    <w:rsid w:val="7D417B3A"/>
    <w:rsid w:val="7DA953CD"/>
    <w:rsid w:val="7E6150E3"/>
    <w:rsid w:val="7E7B1510"/>
    <w:rsid w:val="7EE22913"/>
    <w:rsid w:val="7F0830DD"/>
    <w:rsid w:val="7FA63551"/>
    <w:rsid w:val="7FB643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28"/>
    </w:rPr>
  </w:style>
  <w:style w:type="paragraph" w:styleId="3">
    <w:name w:val="heading 2"/>
    <w:basedOn w:val="4"/>
    <w:next w:val="5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7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8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5">
    <w:name w:val="Body Text"/>
    <w:basedOn w:val="1"/>
    <w:qFormat/>
    <w:uiPriority w:val="0"/>
    <w:pPr>
      <w:spacing w:before="0" w:after="140" w:line="360" w:lineRule="auto"/>
      <w:jc w:val="both"/>
    </w:pPr>
    <w:rPr>
      <w:rFonts w:ascii="Times New Roman" w:hAnsi="Times New Roman"/>
      <w:sz w:val="28"/>
      <w:szCs w:val="28"/>
      <w:lang w:val="ru-RU"/>
    </w:rPr>
  </w:style>
  <w:style w:type="character" w:styleId="11">
    <w:name w:val="Emphasis"/>
    <w:basedOn w:val="9"/>
    <w:qFormat/>
    <w:uiPriority w:val="0"/>
    <w:rPr>
      <w:i/>
      <w:iCs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Strong"/>
    <w:basedOn w:val="9"/>
    <w:qFormat/>
    <w:uiPriority w:val="0"/>
    <w:rPr>
      <w:b/>
      <w:bCs/>
    </w:rPr>
  </w:style>
  <w:style w:type="paragraph" w:styleId="1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Title"/>
    <w:basedOn w:val="4"/>
    <w:next w:val="5"/>
    <w:qFormat/>
    <w:uiPriority w:val="0"/>
    <w:pPr>
      <w:jc w:val="center"/>
    </w:pPr>
    <w:rPr>
      <w:b/>
      <w:bCs/>
      <w:sz w:val="56"/>
      <w:szCs w:val="56"/>
    </w:rPr>
  </w:style>
  <w:style w:type="paragraph" w:styleId="18">
    <w:name w:val="footer"/>
    <w:basedOn w:val="19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9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20">
    <w:name w:val="List"/>
    <w:basedOn w:val="5"/>
    <w:qFormat/>
    <w:uiPriority w:val="0"/>
    <w:rPr>
      <w:rFonts w:cs="Arial"/>
    </w:rPr>
  </w:style>
  <w:style w:type="paragraph" w:styleId="21">
    <w:name w:val="Normal (Web)"/>
    <w:basedOn w:val="1"/>
    <w:qFormat/>
    <w:uiPriority w:val="0"/>
    <w:pPr>
      <w:spacing w:beforeAutospacing="1" w:afterAutospacing="1"/>
    </w:pPr>
  </w:style>
  <w:style w:type="paragraph" w:styleId="2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3">
    <w:name w:val="Исходный текст"/>
    <w:qFormat/>
    <w:uiPriority w:val="0"/>
    <w:rPr>
      <w:rFonts w:ascii="Liberation Mono" w:hAnsi="Liberation Mono" w:eastAsia="NSimSun" w:cs="Liberation Mono"/>
    </w:rPr>
  </w:style>
  <w:style w:type="character" w:customStyle="1" w:styleId="24">
    <w:name w:val="Заголовок 2 Знак"/>
    <w:basedOn w:val="9"/>
    <w:qFormat/>
    <w:uiPriority w:val="0"/>
    <w:rPr>
      <w:rFonts w:ascii="Times New Roman" w:hAnsi="Times New Roman" w:eastAsiaTheme="majorEastAsia" w:cstheme="majorBidi"/>
      <w:b/>
      <w:sz w:val="28"/>
      <w:szCs w:val="26"/>
      <w:lang w:val="ru-RU" w:eastAsia="ru-RU" w:bidi="ar-SA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26">
    <w:name w:val="ЛАБА"/>
    <w:basedOn w:val="1"/>
    <w:link w:val="27"/>
    <w:qFormat/>
    <w:uiPriority w:val="0"/>
    <w:pPr>
      <w:numPr>
        <w:ilvl w:val="0"/>
        <w:numId w:val="0"/>
      </w:numPr>
      <w:spacing w:line="360" w:lineRule="auto"/>
      <w:ind w:leftChars="0" w:firstLine="351" w:firstLineChars="125"/>
      <w:jc w:val="both"/>
    </w:pPr>
    <w:rPr>
      <w:rFonts w:ascii="Times New Roman" w:hAnsi="Times New Roman"/>
      <w:sz w:val="28"/>
      <w:szCs w:val="28"/>
    </w:rPr>
  </w:style>
  <w:style w:type="character" w:customStyle="1" w:styleId="27">
    <w:name w:val="ЛАБА Char"/>
    <w:link w:val="26"/>
    <w:qFormat/>
    <w:uiPriority w:val="0"/>
    <w:rPr>
      <w:rFonts w:ascii="Times New Roman" w:hAnsi="Times New Roman"/>
      <w:sz w:val="28"/>
      <w:szCs w:val="28"/>
    </w:rPr>
  </w:style>
  <w:style w:type="paragraph" w:customStyle="1" w:styleId="28">
    <w:name w:val="лаба"/>
    <w:link w:val="29"/>
    <w:qFormat/>
    <w:uiPriority w:val="0"/>
    <w:pPr>
      <w:spacing w:line="360" w:lineRule="auto"/>
      <w:ind w:leftChars="0" w:firstLine="350" w:firstLineChars="125"/>
      <w:jc w:val="both"/>
    </w:pPr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29">
    <w:name w:val="лаба Char"/>
    <w:link w:val="28"/>
    <w:qFormat/>
    <w:uiPriority w:val="0"/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30">
    <w:name w:val="Заголовок 1 Char"/>
    <w:link w:val="2"/>
    <w:uiPriority w:val="0"/>
    <w:rPr>
      <w:rFonts w:eastAsiaTheme="majorEastAsia" w:cstheme="majorBidi"/>
      <w:b/>
      <w:sz w:val="28"/>
      <w:szCs w:val="28"/>
    </w:rPr>
  </w:style>
  <w:style w:type="paragraph" w:customStyle="1" w:styleId="31">
    <w:name w:val="Заголовок для лаб"/>
    <w:basedOn w:val="1"/>
    <w:qFormat/>
    <w:uiPriority w:val="0"/>
    <w:pPr>
      <w:keepNext/>
      <w:spacing w:before="240" w:after="120" w:line="360" w:lineRule="auto"/>
      <w:jc w:val="center"/>
    </w:pPr>
    <w:rPr>
      <w:rFonts w:ascii="Times New Roman" w:hAnsi="Times New Roman" w:eastAsia="Microsoft YaHe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2006</Words>
  <Characters>14804</Characters>
  <Paragraphs>988</Paragraphs>
  <TotalTime>162</TotalTime>
  <ScaleCrop>false</ScaleCrop>
  <LinksUpToDate>false</LinksUpToDate>
  <CharactersWithSpaces>17505</CharactersWithSpaces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2024-09-20T04:29:00Z</dcterms:created>
  <dc:creator>typaaa</dc:creator>
  <cp:lastModifiedBy>typaaa</cp:lastModifiedBy>
  <dcterms:modified xsi:type="dcterms:W3CDTF">2026-03-07T08:53:22Z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CD39E2F5C7284B27B5FF14A0FDCAC1D7_13</vt:lpwstr>
  </property>
</Properties>
</file>