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eastAsia="Times New Roman"/>
          <w:b/>
          <w:sz w:val="28"/>
        </w:rPr>
        <w:t xml:space="preserve">Le</w:t>
      </w:r>
      <w:r>
        <w:rPr>
          <w:rFonts w:ascii="Times New Roman" w:hAnsi="Times New Roman" w:eastAsia="Times New Roman"/>
          <w:b/>
          <w:sz w:val="28"/>
        </w:rPr>
        <w:t xml:space="preserve"> </w:t>
      </w:r>
      <w:r>
        <w:rPr>
          <w:rFonts w:ascii="Times New Roman" w:hAnsi="Times New Roman" w:eastAsia="Times New Roman"/>
          <w:b/>
          <w:sz w:val="28"/>
        </w:rPr>
        <w:t xml:space="preserve">flux</w:t>
      </w:r>
      <w:r>
        <w:rPr>
          <w:rFonts w:ascii="Times New Roman" w:hAnsi="Times New Roman" w:eastAsia="Times New Roman"/>
          <w:b/>
          <w:sz w:val="28"/>
        </w:rPr>
        <w:t xml:space="preserve"> </w:t>
      </w:r>
      <w:r>
        <w:rPr>
          <w:rFonts w:ascii="Times New Roman" w:hAnsi="Times New Roman" w:eastAsia="Times New Roman"/>
          <w:b/>
          <w:sz w:val="28"/>
        </w:rPr>
        <w:t xml:space="preserve">de</w:t>
      </w:r>
      <w:r>
        <w:rPr>
          <w:rFonts w:ascii="Times New Roman" w:hAnsi="Times New Roman" w:eastAsia="Times New Roman"/>
          <w:b/>
          <w:sz w:val="28"/>
        </w:rPr>
        <w:t xml:space="preserve"> </w:t>
      </w:r>
      <w:r>
        <w:rPr>
          <w:rFonts w:ascii="Times New Roman" w:hAnsi="Times New Roman" w:eastAsia="Times New Roman"/>
          <w:b/>
          <w:sz w:val="28"/>
        </w:rPr>
        <w:t xml:space="preserve">dépendance,</w:t>
      </w:r>
      <w:r>
        <w:rPr>
          <w:rFonts w:ascii="Times New Roman" w:hAnsi="Times New Roman" w:eastAsia="Times New Roman"/>
          <w:b/>
          <w:sz w:val="28"/>
        </w:rPr>
        <w:t xml:space="preserve"> </w:t>
      </w:r>
      <w:r>
        <w:rPr>
          <w:rFonts w:ascii="Times New Roman" w:hAnsi="Times New Roman" w:eastAsia="Times New Roman"/>
          <w:b/>
          <w:sz w:val="28"/>
        </w:rPr>
        <w:t xml:space="preserve">une</w:t>
      </w:r>
      <w:r>
        <w:rPr>
          <w:rFonts w:ascii="Times New Roman" w:hAnsi="Times New Roman" w:eastAsia="Times New Roman"/>
          <w:b/>
          <w:sz w:val="28"/>
        </w:rPr>
        <w:t xml:space="preserve"> </w:t>
      </w:r>
      <w:r>
        <w:rPr>
          <w:rFonts w:ascii="Times New Roman" w:hAnsi="Times New Roman" w:eastAsia="Times New Roman"/>
          <w:b/>
          <w:sz w:val="28"/>
        </w:rPr>
        <w:t xml:space="preserve">mesure</w:t>
      </w:r>
      <w:r>
        <w:rPr>
          <w:rFonts w:ascii="Times New Roman" w:hAnsi="Times New Roman" w:eastAsia="Times New Roman"/>
          <w:b/>
          <w:sz w:val="28"/>
        </w:rPr>
        <w:t xml:space="preserve"> </w:t>
      </w:r>
      <w:r>
        <w:rPr>
          <w:rFonts w:ascii="Times New Roman" w:hAnsi="Times New Roman" w:eastAsia="Times New Roman"/>
          <w:b/>
          <w:sz w:val="28"/>
        </w:rPr>
        <w:t xml:space="preserve">de</w:t>
      </w:r>
      <w:r>
        <w:rPr>
          <w:rFonts w:ascii="Times New Roman" w:hAnsi="Times New Roman" w:eastAsia="Times New Roman"/>
          <w:b/>
          <w:sz w:val="28"/>
        </w:rPr>
        <w:t xml:space="preserve"> </w:t>
      </w:r>
      <w:r>
        <w:rPr>
          <w:rFonts w:ascii="Times New Roman" w:hAnsi="Times New Roman" w:eastAsia="Times New Roman"/>
          <w:b/>
          <w:sz w:val="28"/>
        </w:rPr>
        <w:t xml:space="preserve">la</w:t>
      </w:r>
      <w:r>
        <w:rPr>
          <w:rFonts w:ascii="Times New Roman" w:hAnsi="Times New Roman" w:eastAsia="Times New Roman"/>
          <w:b/>
          <w:sz w:val="28"/>
        </w:rPr>
        <w:t xml:space="preserve"> </w:t>
      </w:r>
      <w:r>
        <w:rPr>
          <w:rFonts w:ascii="Times New Roman" w:hAnsi="Times New Roman" w:eastAsia="Times New Roman"/>
          <w:b/>
          <w:sz w:val="28"/>
        </w:rPr>
        <w:t xml:space="preserve">complexité</w:t>
      </w:r>
      <w:r>
        <w:rPr>
          <w:rFonts w:ascii="Times New Roman" w:hAnsi="Times New Roman" w:eastAsia="Times New Roman"/>
          <w:b/>
          <w:sz w:val="28"/>
        </w:rPr>
        <w:t xml:space="preserve"> </w:t>
      </w:r>
      <w:r>
        <w:rPr>
          <w:rFonts w:ascii="Times New Roman" w:hAnsi="Times New Roman" w:eastAsia="Times New Roman"/>
          <w:b/>
          <w:sz w:val="28"/>
        </w:rPr>
        <w:t xml:space="preserve">syntaxique :</w:t>
      </w:r>
      <w:r>
        <w:rPr>
          <w:rFonts w:ascii="Times New Roman" w:hAnsi="Times New Roman" w:eastAsia="Times New Roman"/>
          <w:b/>
          <w:sz w:val="28"/>
        </w:rPr>
        <w:t xml:space="preserve"> </w:t>
      </w:r>
      <w:r>
        <w:rPr>
          <w:rFonts w:ascii="Times New Roman" w:hAnsi="Times New Roman" w:eastAsia="Times New Roman"/>
          <w:b/>
          <w:sz w:val="28"/>
        </w:rPr>
        <w:t xml:space="preserve">l’oral</w:t>
      </w:r>
      <w:r>
        <w:rPr>
          <w:rFonts w:ascii="Times New Roman" w:hAnsi="Times New Roman" w:eastAsia="Times New Roman"/>
          <w:b/>
          <w:sz w:val="28"/>
        </w:rPr>
        <w:t xml:space="preserve"> </w:t>
      </w:r>
      <w:r>
        <w:rPr>
          <w:rFonts w:ascii="Times New Roman" w:hAnsi="Times New Roman" w:eastAsia="Times New Roman"/>
          <w:b/>
          <w:sz w:val="28"/>
        </w:rPr>
        <w:t xml:space="preserve">et</w:t>
      </w:r>
      <w:r>
        <w:rPr>
          <w:rFonts w:ascii="Times New Roman" w:hAnsi="Times New Roman" w:eastAsia="Times New Roman"/>
          <w:b/>
          <w:sz w:val="28"/>
        </w:rPr>
        <w:t xml:space="preserve"> </w:t>
      </w:r>
      <w:r>
        <w:rPr>
          <w:rFonts w:ascii="Times New Roman" w:hAnsi="Times New Roman" w:eastAsia="Times New Roman"/>
          <w:b/>
          <w:sz w:val="28"/>
        </w:rPr>
        <w:t xml:space="preserve">l’écrit</w:t>
      </w:r>
      <w:r>
        <w:rPr>
          <w:rFonts w:ascii="Times New Roman" w:hAnsi="Times New Roman" w:eastAsia="Times New Roman"/>
          <w:b/>
          <w:sz w:val="28"/>
        </w:rPr>
        <w:t xml:space="preserve"> </w:t>
      </w:r>
      <w:r>
        <w:rPr>
          <w:rFonts w:ascii="Times New Roman" w:hAnsi="Times New Roman" w:eastAsia="Times New Roman"/>
          <w:b/>
          <w:sz w:val="28"/>
        </w:rPr>
        <w:t xml:space="preserve">en</w:t>
      </w:r>
      <w:r>
        <w:rPr>
          <w:rFonts w:ascii="Times New Roman" w:hAnsi="Times New Roman" w:eastAsia="Times New Roman"/>
          <w:b/>
          <w:sz w:val="28"/>
        </w:rPr>
        <w:t xml:space="preserve"> </w:t>
      </w:r>
      <w:r>
        <w:rPr>
          <w:rFonts w:ascii="Times New Roman" w:hAnsi="Times New Roman" w:eastAsia="Times New Roman"/>
          <w:b/>
          <w:sz w:val="28"/>
        </w:rPr>
        <w:t xml:space="preserve">français</w:t>
      </w:r>
    </w:p>
    <w:p>
      <w:pPr>
        <w:pStyle w:val="BodyText"/>
        <w:jc w:val="right"/>
      </w:pPr>
      <w:r>
        <w:rPr>
          <w:rFonts w:ascii="Times New Roman" w:hAnsi="Times New Roman" w:eastAsia="Times New Roman"/>
          <w:sz w:val="24"/>
        </w:rPr>
        <w:t xml:space="preserve">Sylvain Kahane</w:t>
      </w:r>
      <w:r>
        <w:rPr>
          <w:rStyle w:val="FootnoteReference"/>
          <w:rFonts w:ascii="Times New Roman" w:hAnsi="Times New Roman" w:eastAsia="Times New Roman"/>
          <w:sz w:val="24"/>
        </w:rPr>
        <w:footnoteReference w:id="20"/>
      </w:r>
      <w:r>
        <w:rPr>
          <w:rFonts w:ascii="Times New Roman" w:hAnsi="Times New Roman" w:eastAsia="Times New Roman"/>
          <w:sz w:val="24"/>
        </w:rPr>
        <w:t xml:space="preserve"> </w:t>
      </w:r>
      <w:r>
        <w:rPr>
          <w:rFonts w:ascii="Times New Roman" w:hAnsi="Times New Roman" w:eastAsia="Times New Roman"/>
          <w:sz w:val="24"/>
        </w:rPr>
        <w:t xml:space="preserve">et Kim Gerdes</w:t>
      </w:r>
      <w:r>
        <w:rPr>
          <w:rStyle w:val="FootnoteReference"/>
          <w:rFonts w:ascii="Times New Roman" w:hAnsi="Times New Roman" w:eastAsia="Times New Roman"/>
          <w:sz w:val="24"/>
        </w:rPr>
        <w:footnoteReference w:id="21"/>
      </w:r>
    </w:p>
    <w:p>
      <w:pPr>
        <w:spacing w:after="120"/>
        <w:jc w:val="both"/>
      </w:pPr>
      <w:r>
        <w:rPr>
          <w:bCs/>
          <w:rFonts w:ascii="Times New Roman" w:hAnsi="Times New Roman" w:eastAsia="Times New Roman"/>
          <w:b/>
          <w:sz w:val="22"/>
        </w:rPr>
        <w:t xml:space="preserve">Résumé :</w:t>
      </w:r>
      <w:r>
        <w:rPr>
          <w:rFonts w:ascii="Times New Roman" w:hAnsi="Times New Roman" w:eastAsia="Times New Roman"/>
          <w:sz w:val="22"/>
        </w:rPr>
        <w:t xml:space="preserve"> </w:t>
      </w:r>
      <w:r>
        <w:rPr>
          <w:rFonts w:ascii="Times New Roman" w:hAnsi="Times New Roman" w:eastAsia="Times New Roman"/>
          <w:sz w:val="22"/>
        </w:rPr>
        <w:t xml:space="preserve">Le flux de dépendance en un point d’une phrase est l’ensemble des dépendances syntaxiques qui relient un mot situé avant ce point à un mot situé après. Sa taille moyenne est égale à la longueur moyenne des dépendances, mais sa distribution renseigne directement sur la charge de la mémoire de travail. Nous comparons deux corpus écrits (GSD, Sequoia) et trois corpus oraux (ParisStories, Rhapsodie, CEFC-gold) du français annotés en dépendances (SUD), en mesurant pour des unités de même longueur la taille du flux, son poids (le nombre maximal de dépendances disjointes, qui mesure l’enchâssement central) et la longueur des dépendances, ainsi que le paramètre de coupure d’une loi de puissance tronquée, que nous interprétons comme la pression exercée par la mémoire de travail. À longueur égale, l’oral a un flux plus grand que l’écrit. Les relations macrosyntaxiques (marqueurs de discours, dislocations, parenthèses) expliquent la plus grande partie de ce surplus, les modifieurs antéposés au sujet le reste ; le poids du flux est le même partout. Contrairement à l’idée d’un oral syntaxiquement simple, l’oral n’est pas moins complexe que l’écrit au niveau microsyntaxique : sa complexité est seulement distribuée autrement.</w:t>
      </w:r>
    </w:p>
    <w:p>
      <w:pPr>
        <w:spacing w:after="120"/>
        <w:jc w:val="both"/>
      </w:pPr>
      <w:r>
        <w:rPr>
          <w:bCs/>
          <w:rFonts w:ascii="Times New Roman" w:hAnsi="Times New Roman" w:eastAsia="Times New Roman"/>
          <w:b/>
          <w:sz w:val="22"/>
        </w:rPr>
        <w:t xml:space="preserve">Mots-clés :</w:t>
      </w:r>
      <w:r>
        <w:rPr>
          <w:rFonts w:ascii="Times New Roman" w:hAnsi="Times New Roman" w:eastAsia="Times New Roman"/>
          <w:sz w:val="22"/>
        </w:rPr>
        <w:t xml:space="preserve"> </w:t>
      </w:r>
      <w:r>
        <w:rPr>
          <w:rFonts w:ascii="Times New Roman" w:hAnsi="Times New Roman" w:eastAsia="Times New Roman"/>
          <w:sz w:val="22"/>
        </w:rPr>
        <w:t xml:space="preserve">flux de dépendance, longueur des dépendances, complexité syntaxique, mémoire de travail, français parlé, macrosyntaxe, Surface-Syntactic Universal Dependencies</w:t>
      </w:r>
    </w:p>
    <w:p>
      <w:pPr>
        <w:spacing w:after="120"/>
        <w:jc w:val="both"/>
      </w:pPr>
      <w:r>
        <w:rPr>
          <w:bCs/>
          <w:rFonts w:ascii="Times New Roman" w:hAnsi="Times New Roman" w:eastAsia="Times New Roman"/>
          <w:b/>
          <w:sz w:val="22"/>
        </w:rPr>
        <w:t xml:space="preserve">Abstract:</w:t>
      </w:r>
      <w:r>
        <w:rPr>
          <w:rFonts w:ascii="Times New Roman" w:hAnsi="Times New Roman" w:eastAsia="Times New Roman"/>
          <w:sz w:val="22"/>
        </w:rPr>
        <w:t xml:space="preserve"> </w:t>
      </w:r>
      <w:r>
        <w:rPr>
          <w:rFonts w:ascii="Times New Roman" w:hAnsi="Times New Roman" w:eastAsia="Times New Roman"/>
          <w:sz w:val="22"/>
        </w:rPr>
        <w:t xml:space="preserve">The dependency flux at a point of a sentence is the set of syntactic dependencies linking a word before this point to a word after it. Its mean size equals the mean dependency length, but its distribution directly reflects the load on working memory. We compare two written (GSD, Sequoia) and three spoken (ParisStories, Rhapsodie, CEFC-gold) French dependency treebanks (SUD), measuring, for units of equal length, flux size, flux weight (the maximal number of disjoint dependencies, which measures centre embedding) and dependency length, together with the cut-off parameter of a truncated power law, which we interpret as the pressure exerted by working memory. At equal length, speech has a larger flux than writing. Macrosyntactic relations (discourse markers, dislocations, parentheticals) account for most of this surplus, modifiers placed before the subject for the rest; flux weight is the same everywhere. Contrary to the idea of a syntactically simple spoken language, speech is not less complex than writing at the microsyntactic level: its complexity is only distributed differently.</w:t>
      </w:r>
    </w:p>
    <w:p>
      <w:pPr>
        <w:spacing w:after="120"/>
        <w:jc w:val="both"/>
      </w:pPr>
      <w:r>
        <w:rPr>
          <w:bCs/>
          <w:rFonts w:ascii="Times New Roman" w:hAnsi="Times New Roman" w:eastAsia="Times New Roman"/>
          <w:b/>
          <w:sz w:val="22"/>
        </w:rPr>
        <w:t xml:space="preserve">Key words:</w:t>
      </w:r>
      <w:r>
        <w:rPr>
          <w:rFonts w:ascii="Times New Roman" w:hAnsi="Times New Roman" w:eastAsia="Times New Roman"/>
          <w:sz w:val="22"/>
        </w:rPr>
        <w:t xml:space="preserve"> </w:t>
      </w:r>
      <w:r>
        <w:rPr>
          <w:rFonts w:ascii="Times New Roman" w:hAnsi="Times New Roman" w:eastAsia="Times New Roman"/>
          <w:sz w:val="22"/>
        </w:rPr>
        <w:t xml:space="preserve">dependency flux, dependency length, syntactic complexity, working memory, spoken French, macrosyntax, Surface-Syntactic Universal Dependencies</w:t>
      </w:r>
    </w:p>
    <w:p>
      <w:pPr>
        <w:spacing w:after="120"/>
        <w:jc w:val="both"/>
      </w:pPr>
      <w:r>
        <w:rPr>
          <w:bCs/>
          <w:rFonts w:ascii="Times New Roman" w:hAnsi="Times New Roman" w:eastAsia="Times New Roman"/>
          <w:b/>
          <w:sz w:val="22"/>
        </w:rPr>
        <w:t xml:space="preserve">Rezumat:</w:t>
      </w:r>
      <w:r>
        <w:rPr>
          <w:rFonts w:ascii="Times New Roman" w:hAnsi="Times New Roman" w:eastAsia="Times New Roman"/>
          <w:sz w:val="22"/>
        </w:rPr>
        <w:t xml:space="preserve"> </w:t>
      </w:r>
      <w:r>
        <w:rPr>
          <w:rFonts w:ascii="Times New Roman" w:hAnsi="Times New Roman" w:eastAsia="Times New Roman"/>
          <w:sz w:val="22"/>
        </w:rPr>
        <w:t xml:space="preserve">Fluxul de dependență într-un punct al unei propoziții este mulțimea dependențelor sintactice care leagă un cuvânt aflat înaintea acestui punct de un cuvânt aflat după el. Mărimea sa medie este egală cu lungimea medie a dependențelor, dar distribuția sa reflectă direct încărcarea memoriei de lucru. Comparăm două corpusuri scrise (GSD, Sequoia) și trei corpusuri orale (ParisStories, Rhapsodie, CEFC-gold) ale limbii franceze adnotate în dependențe (SUD), măsurând, pentru unități de aceeași lungime, mărimea fluxului, greutatea sa (numărul maxim de dependențe disjuncte, care măsoară încastrarea centrală) și lungimea dependențelor, precum și parametrul de tăiere al unei legi de putere trunchiate, pe care îl interpretăm ca presiunea exercitată de memoria de lucru. La lungime egală, oralul are un flux mai mare decât scrisul. Relațiile macrosintactice (mărci discursive, dislocări, paranteze) explică cea mai mare parte a acestui surplus, iar modificatorii antepuși subiectului restul; greutatea fluxului este aceeași peste tot. Contrar ideii unui oral simplu din punct de vedere sintactic, oralul nu este mai puțin complex decât scrisul la nivel microsintactic: complexitatea sa este doar distribuită altfel.</w:t>
      </w:r>
    </w:p>
    <w:p>
      <w:pPr>
        <w:spacing w:after="120"/>
        <w:jc w:val="both"/>
      </w:pPr>
      <w:r>
        <w:rPr>
          <w:bCs/>
          <w:rFonts w:ascii="Times New Roman" w:hAnsi="Times New Roman" w:eastAsia="Times New Roman"/>
          <w:b/>
          <w:sz w:val="22"/>
        </w:rPr>
        <w:t xml:space="preserve">Cuvinte-cheie:</w:t>
      </w:r>
      <w:r>
        <w:rPr>
          <w:rFonts w:ascii="Times New Roman" w:hAnsi="Times New Roman" w:eastAsia="Times New Roman"/>
          <w:sz w:val="22"/>
        </w:rPr>
        <w:t xml:space="preserve"> </w:t>
      </w:r>
      <w:r>
        <w:rPr>
          <w:rFonts w:ascii="Times New Roman" w:hAnsi="Times New Roman" w:eastAsia="Times New Roman"/>
          <w:sz w:val="22"/>
        </w:rPr>
        <w:t xml:space="preserve">flux de dependență, lungimea dependențelor, complexitate sintactică, memorie de lucru, franceza vorbită, macrosintaxă, Surface-Syntactic Universal Dependencies</w:t>
      </w:r>
    </w:p>
    <w:bookmarkStart w:id="25" w:name="introduction"/>
    <w:p>
      <w:pPr>
        <w:pStyle w:val="Heading1"/>
      </w:pPr>
      <w:r>
        <w:rPr>
          <w:rFonts w:ascii="Times New Roman" w:hAnsi="Times New Roman" w:eastAsia="Times New Roman"/>
          <w:b/>
          <w:sz w:val="24"/>
        </w:rPr>
        <w:t xml:space="preserve">1. Introduction</w:t>
      </w:r>
    </w:p>
    <w:p>
      <w:pPr>
        <w:pStyle w:val="BodyText"/>
        <w:jc w:val="both"/>
      </w:pPr>
      <w:r>
        <w:rPr>
          <w:rFonts w:ascii="Times New Roman" w:hAnsi="Times New Roman" w:eastAsia="Times New Roman"/>
          <w:sz w:val="24"/>
        </w:rPr>
        <w:t xml:space="preserve">On oppose souvent un oral « simple », fait d’énoncés courts et juxtaposés, à un écrit « complexe », riche en subordination et en syntagmes nominaux étendus. La longueur des phrases est d’ailleurs une bonne mesure de la complexité des textes écrits : elle est l’une des variables les plus prédictives de la lisibilité et de la difficulté des textes pour les apprenants (François 2011). Mais elle se prête mal à la comparaison de l’oral et de l’écrit, parce que les unités de l’oral ne sont pas des phrases graphiques et que leur segmentation repose sur d’autres critères (Blanche-Benveniste 1990 ; Pietrandrea et al. 2014). L’oral a en outre ses propres structures (dislocations, marqueurs de discours, reprises, reformulations), qui ne se laissent pas réduire à de l’écrit simplifié.</w:t>
      </w:r>
    </w:p>
    <w:p>
      <w:pPr>
        <w:pStyle w:val="BodyText"/>
        <w:jc w:val="both"/>
      </w:pPr>
      <w:r>
        <w:rPr>
          <w:rFonts w:ascii="Times New Roman" w:hAnsi="Times New Roman" w:eastAsia="Times New Roman"/>
          <w:sz w:val="24"/>
        </w:rPr>
        <w:t xml:space="preserve">Pour comparer les deux modalités, il faut une mesure qui soit liée aux contraintes cognitives du traitement et qui puisse être calculée à longueur d’énoncé égale. Nous utilisons le</w:t>
      </w:r>
      <w:r>
        <w:rPr>
          <w:rFonts w:ascii="Times New Roman" w:hAnsi="Times New Roman" w:eastAsia="Times New Roman"/>
          <w:sz w:val="24"/>
        </w:rPr>
        <w:t xml:space="preserve"> </w:t>
      </w:r>
      <w:r>
        <w:rPr>
          <w:iCs/>
          <w:rFonts w:ascii="Times New Roman" w:hAnsi="Times New Roman" w:eastAsia="Times New Roman"/>
          <w:i/>
          <w:sz w:val="24"/>
        </w:rPr>
        <w:t xml:space="preserve">flux de dépendance</w:t>
      </w:r>
      <w:r>
        <w:rPr>
          <w:rFonts w:ascii="Times New Roman" w:hAnsi="Times New Roman" w:eastAsia="Times New Roman"/>
          <w:sz w:val="24"/>
        </w:rPr>
        <w:t xml:space="preserve"> </w:t>
      </w:r>
      <w:r>
        <w:rPr>
          <w:rFonts w:ascii="Times New Roman" w:hAnsi="Times New Roman" w:eastAsia="Times New Roman"/>
          <w:sz w:val="24"/>
        </w:rPr>
        <w:t xml:space="preserve">(Kahane 2001 ; Botalla 2014 ; Kahane et al. 2017 ; Yan 2021) : en chaque point d’une phrase, l’ensemble des dépendances qui relient un mot situé avant ce point à un mot situé après. La figure 1 en donne un exemple, un énoncé de dix mots du corpus Rhapsodie. Entre</w:t>
      </w:r>
      <w:r>
        <w:rPr>
          <w:rFonts w:ascii="Times New Roman" w:hAnsi="Times New Roman" w:eastAsia="Times New Roman"/>
          <w:sz w:val="24"/>
        </w:rPr>
        <w:t xml:space="preserve"> </w:t>
      </w:r>
      <w:r>
        <w:rPr>
          <w:iCs/>
          <w:rFonts w:ascii="Times New Roman" w:hAnsi="Times New Roman" w:eastAsia="Times New Roman"/>
          <w:i/>
          <w:sz w:val="24"/>
        </w:rPr>
        <w:t xml:space="preserve">trajet</w:t>
      </w:r>
      <w:r>
        <w:rPr>
          <w:rFonts w:ascii="Times New Roman" w:hAnsi="Times New Roman" w:eastAsia="Times New Roman"/>
          <w:sz w:val="24"/>
        </w:rPr>
        <w:t xml:space="preserve"> </w:t>
      </w:r>
      <w:r>
        <w:rPr>
          <w:rFonts w:ascii="Times New Roman" w:hAnsi="Times New Roman" w:eastAsia="Times New Roman"/>
          <w:sz w:val="24"/>
        </w:rPr>
        <w:t xml:space="preserve">et</w:t>
      </w:r>
      <w:r>
        <w:rPr>
          <w:rFonts w:ascii="Times New Roman" w:hAnsi="Times New Roman" w:eastAsia="Times New Roman"/>
          <w:sz w:val="24"/>
        </w:rPr>
        <w:t xml:space="preserve"> </w:t>
      </w:r>
      <w:r>
        <w:rPr>
          <w:iCs/>
          <w:rFonts w:ascii="Times New Roman" w:hAnsi="Times New Roman" w:eastAsia="Times New Roman"/>
          <w:i/>
          <w:sz w:val="24"/>
        </w:rPr>
        <w:t xml:space="preserve">ce</w:t>
      </w:r>
      <w:r>
        <w:rPr>
          <w:rFonts w:ascii="Times New Roman" w:hAnsi="Times New Roman" w:eastAsia="Times New Roman"/>
          <w:sz w:val="24"/>
        </w:rPr>
        <w:t xml:space="preserve">, une seule dépendance enjambe la coupure, celle qui rattache le sujet disloqué</w:t>
      </w:r>
      <w:r>
        <w:rPr>
          <w:rFonts w:ascii="Times New Roman" w:hAnsi="Times New Roman" w:eastAsia="Times New Roman"/>
          <w:sz w:val="24"/>
        </w:rPr>
        <w:t xml:space="preserve"> </w:t>
      </w:r>
      <w:r>
        <w:rPr>
          <w:iCs/>
          <w:rFonts w:ascii="Times New Roman" w:hAnsi="Times New Roman" w:eastAsia="Times New Roman"/>
          <w:i/>
          <w:sz w:val="24"/>
        </w:rPr>
        <w:t xml:space="preserve">quatre-vingt-six</w:t>
      </w:r>
      <w:r>
        <w:rPr>
          <w:rFonts w:ascii="Times New Roman" w:hAnsi="Times New Roman" w:eastAsia="Times New Roman"/>
          <w:sz w:val="24"/>
        </w:rPr>
        <w:t xml:space="preserve"> </w:t>
      </w:r>
      <w:r>
        <w:rPr>
          <w:rFonts w:ascii="Times New Roman" w:hAnsi="Times New Roman" w:eastAsia="Times New Roman"/>
          <w:sz w:val="24"/>
        </w:rPr>
        <w:t xml:space="preserve">au verbe</w:t>
      </w:r>
      <w:r>
        <w:rPr>
          <w:rFonts w:ascii="Times New Roman" w:hAnsi="Times New Roman" w:eastAsia="Times New Roman"/>
          <w:sz w:val="24"/>
        </w:rPr>
        <w:t xml:space="preserve"> </w:t>
      </w:r>
      <w:r>
        <w:rPr>
          <w:iCs/>
          <w:rFonts w:ascii="Times New Roman" w:hAnsi="Times New Roman" w:eastAsia="Times New Roman"/>
          <w:i/>
          <w:sz w:val="24"/>
        </w:rPr>
        <w:t xml:space="preserve">est</w:t>
      </w:r>
      <w:r>
        <w:rPr>
          <w:rFonts w:ascii="Times New Roman" w:hAnsi="Times New Roman" w:eastAsia="Times New Roman"/>
          <w:sz w:val="24"/>
        </w:rPr>
        <w:t xml:space="preserve"> : le flux est de taille 1. Entre</w:t>
      </w:r>
      <w:r>
        <w:rPr>
          <w:rFonts w:ascii="Times New Roman" w:hAnsi="Times New Roman" w:eastAsia="Times New Roman"/>
          <w:sz w:val="24"/>
        </w:rPr>
        <w:t xml:space="preserve"> </w:t>
      </w:r>
      <w:r>
        <w:rPr>
          <w:iCs/>
          <w:rFonts w:ascii="Times New Roman" w:hAnsi="Times New Roman" w:eastAsia="Times New Roman"/>
          <w:i/>
          <w:sz w:val="24"/>
        </w:rPr>
        <w:t xml:space="preserve">très</w:t>
      </w:r>
      <w:r>
        <w:rPr>
          <w:rFonts w:ascii="Times New Roman" w:hAnsi="Times New Roman" w:eastAsia="Times New Roman"/>
          <w:sz w:val="24"/>
        </w:rPr>
        <w:t xml:space="preserve"> </w:t>
      </w:r>
      <w:r>
        <w:rPr>
          <w:rFonts w:ascii="Times New Roman" w:hAnsi="Times New Roman" w:eastAsia="Times New Roman"/>
          <w:sz w:val="24"/>
        </w:rPr>
        <w:t xml:space="preserve">et</w:t>
      </w:r>
      <w:r>
        <w:rPr>
          <w:rFonts w:ascii="Times New Roman" w:hAnsi="Times New Roman" w:eastAsia="Times New Roman"/>
          <w:sz w:val="24"/>
        </w:rPr>
        <w:t xml:space="preserve"> </w:t>
      </w:r>
      <w:r>
        <w:rPr>
          <w:iCs/>
          <w:rFonts w:ascii="Times New Roman" w:hAnsi="Times New Roman" w:eastAsia="Times New Roman"/>
          <w:i/>
          <w:sz w:val="24"/>
        </w:rPr>
        <w:t xml:space="preserve">beau</w:t>
      </w:r>
      <w:r>
        <w:rPr>
          <w:rFonts w:ascii="Times New Roman" w:hAnsi="Times New Roman" w:eastAsia="Times New Roman"/>
          <w:sz w:val="24"/>
        </w:rPr>
        <w:t xml:space="preserve">, quatre dépendances l’enjambent : le verbe</w:t>
      </w:r>
      <w:r>
        <w:rPr>
          <w:rFonts w:ascii="Times New Roman" w:hAnsi="Times New Roman" w:eastAsia="Times New Roman"/>
          <w:sz w:val="24"/>
        </w:rPr>
        <w:t xml:space="preserve"> </w:t>
      </w:r>
      <w:r>
        <w:rPr>
          <w:iCs/>
          <w:rFonts w:ascii="Times New Roman" w:hAnsi="Times New Roman" w:eastAsia="Times New Roman"/>
          <w:i/>
          <w:sz w:val="24"/>
        </w:rPr>
        <w:t xml:space="preserve">est</w:t>
      </w:r>
      <w:r>
        <w:rPr>
          <w:rFonts w:ascii="Times New Roman" w:hAnsi="Times New Roman" w:eastAsia="Times New Roman"/>
          <w:sz w:val="24"/>
        </w:rPr>
        <w:t xml:space="preserve"> </w:t>
      </w:r>
      <w:r>
        <w:rPr>
          <w:rFonts w:ascii="Times New Roman" w:hAnsi="Times New Roman" w:eastAsia="Times New Roman"/>
          <w:sz w:val="24"/>
        </w:rPr>
        <w:t xml:space="preserve">attend son attribut</w:t>
      </w:r>
      <w:r>
        <w:rPr>
          <w:rFonts w:ascii="Times New Roman" w:hAnsi="Times New Roman" w:eastAsia="Times New Roman"/>
          <w:sz w:val="24"/>
        </w:rPr>
        <w:t xml:space="preserve"> </w:t>
      </w:r>
      <w:r>
        <w:rPr>
          <w:iCs/>
          <w:rFonts w:ascii="Times New Roman" w:hAnsi="Times New Roman" w:eastAsia="Times New Roman"/>
          <w:i/>
          <w:sz w:val="24"/>
        </w:rPr>
        <w:t xml:space="preserve">trajet</w:t>
      </w:r>
      <w:r>
        <w:rPr>
          <w:rFonts w:ascii="Times New Roman" w:hAnsi="Times New Roman" w:eastAsia="Times New Roman"/>
          <w:sz w:val="24"/>
        </w:rPr>
        <w:t xml:space="preserve"> </w:t>
      </w:r>
      <w:r>
        <w:rPr>
          <w:rFonts w:ascii="Times New Roman" w:hAnsi="Times New Roman" w:eastAsia="Times New Roman"/>
          <w:sz w:val="24"/>
        </w:rPr>
        <w:t xml:space="preserve">et son sujet disloqué, le déterminant</w:t>
      </w:r>
      <w:r>
        <w:rPr>
          <w:rFonts w:ascii="Times New Roman" w:hAnsi="Times New Roman" w:eastAsia="Times New Roman"/>
          <w:sz w:val="24"/>
        </w:rPr>
        <w:t xml:space="preserve"> </w:t>
      </w:r>
      <w:r>
        <w:rPr>
          <w:iCs/>
          <w:rFonts w:ascii="Times New Roman" w:hAnsi="Times New Roman" w:eastAsia="Times New Roman"/>
          <w:i/>
          <w:sz w:val="24"/>
        </w:rPr>
        <w:t xml:space="preserve">un</w:t>
      </w:r>
      <w:r>
        <w:rPr>
          <w:rFonts w:ascii="Times New Roman" w:hAnsi="Times New Roman" w:eastAsia="Times New Roman"/>
          <w:sz w:val="24"/>
        </w:rPr>
        <w:t xml:space="preserve"> </w:t>
      </w:r>
      <w:r>
        <w:rPr>
          <w:rFonts w:ascii="Times New Roman" w:hAnsi="Times New Roman" w:eastAsia="Times New Roman"/>
          <w:sz w:val="24"/>
        </w:rPr>
        <w:t xml:space="preserve">attend le nom</w:t>
      </w:r>
      <w:r>
        <w:rPr>
          <w:rFonts w:ascii="Times New Roman" w:hAnsi="Times New Roman" w:eastAsia="Times New Roman"/>
          <w:sz w:val="24"/>
        </w:rPr>
        <w:t xml:space="preserve"> </w:t>
      </w:r>
      <w:r>
        <w:rPr>
          <w:iCs/>
          <w:rFonts w:ascii="Times New Roman" w:hAnsi="Times New Roman" w:eastAsia="Times New Roman"/>
          <w:i/>
          <w:sz w:val="24"/>
        </w:rPr>
        <w:t xml:space="preserve">trajet</w:t>
      </w:r>
      <w:r>
        <w:rPr>
          <w:rFonts w:ascii="Times New Roman" w:hAnsi="Times New Roman" w:eastAsia="Times New Roman"/>
          <w:sz w:val="24"/>
        </w:rPr>
        <w:t xml:space="preserve">, l’adverbe</w:t>
      </w:r>
      <w:r>
        <w:rPr>
          <w:rFonts w:ascii="Times New Roman" w:hAnsi="Times New Roman" w:eastAsia="Times New Roman"/>
          <w:sz w:val="24"/>
        </w:rPr>
        <w:t xml:space="preserve"> </w:t>
      </w:r>
      <w:r>
        <w:rPr>
          <w:iCs/>
          <w:rFonts w:ascii="Times New Roman" w:hAnsi="Times New Roman" w:eastAsia="Times New Roman"/>
          <w:i/>
          <w:sz w:val="24"/>
        </w:rPr>
        <w:t xml:space="preserve">très</w:t>
      </w:r>
      <w:r>
        <w:rPr>
          <w:rFonts w:ascii="Times New Roman" w:hAnsi="Times New Roman" w:eastAsia="Times New Roman"/>
          <w:sz w:val="24"/>
        </w:rPr>
        <w:t xml:space="preserve"> </w:t>
      </w:r>
      <w:r>
        <w:rPr>
          <w:rFonts w:ascii="Times New Roman" w:hAnsi="Times New Roman" w:eastAsia="Times New Roman"/>
          <w:sz w:val="24"/>
        </w:rPr>
        <w:t xml:space="preserve">attend l’adjectif</w:t>
      </w:r>
      <w:r>
        <w:rPr>
          <w:rFonts w:ascii="Times New Roman" w:hAnsi="Times New Roman" w:eastAsia="Times New Roman"/>
          <w:sz w:val="24"/>
        </w:rPr>
        <w:t xml:space="preserve"> </w:t>
      </w:r>
      <w:r>
        <w:rPr>
          <w:iCs/>
          <w:rFonts w:ascii="Times New Roman" w:hAnsi="Times New Roman" w:eastAsia="Times New Roman"/>
          <w:i/>
          <w:sz w:val="24"/>
        </w:rPr>
        <w:t xml:space="preserve">beau</w:t>
      </w:r>
      <w:r>
        <w:rPr>
          <w:rFonts w:ascii="Times New Roman" w:hAnsi="Times New Roman" w:eastAsia="Times New Roman"/>
          <w:sz w:val="24"/>
        </w:rPr>
        <w:t xml:space="preserve"> ; le flux est de taille 4. Trois de ces dépendances ne partagent aucun mot (</w:t>
      </w:r>
      <w:r>
        <w:rPr>
          <w:iCs/>
          <w:rFonts w:ascii="Times New Roman" w:hAnsi="Times New Roman" w:eastAsia="Times New Roman"/>
          <w:i/>
          <w:sz w:val="24"/>
        </w:rPr>
        <w:t xml:space="preserve">est</w:t>
      </w:r>
      <w:r>
        <w:rPr>
          <w:rFonts w:ascii="Times New Roman" w:hAnsi="Times New Roman" w:eastAsia="Times New Roman"/>
          <w:sz w:val="24"/>
        </w:rPr>
        <w:t xml:space="preserve">–</w:t>
      </w:r>
      <w:r>
        <w:rPr>
          <w:iCs/>
          <w:rFonts w:ascii="Times New Roman" w:hAnsi="Times New Roman" w:eastAsia="Times New Roman"/>
          <w:i/>
          <w:sz w:val="24"/>
        </w:rPr>
        <w:t xml:space="preserve">quatre-vingt-six</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un</w:t>
      </w:r>
      <w:r>
        <w:rPr>
          <w:rFonts w:ascii="Times New Roman" w:hAnsi="Times New Roman" w:eastAsia="Times New Roman"/>
          <w:sz w:val="24"/>
        </w:rPr>
        <w:t xml:space="preserve">–</w:t>
      </w:r>
      <w:r>
        <w:rPr>
          <w:iCs/>
          <w:rFonts w:ascii="Times New Roman" w:hAnsi="Times New Roman" w:eastAsia="Times New Roman"/>
          <w:i/>
          <w:sz w:val="24"/>
        </w:rPr>
        <w:t xml:space="preserve">trajet</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très</w:t>
      </w:r>
      <w:r>
        <w:rPr>
          <w:rFonts w:ascii="Times New Roman" w:hAnsi="Times New Roman" w:eastAsia="Times New Roman"/>
          <w:sz w:val="24"/>
        </w:rPr>
        <w:t xml:space="preserve">–</w:t>
      </w:r>
      <w:r>
        <w:rPr>
          <w:iCs/>
          <w:rFonts w:ascii="Times New Roman" w:hAnsi="Times New Roman" w:eastAsia="Times New Roman"/>
          <w:i/>
          <w:sz w:val="24"/>
        </w:rPr>
        <w:t xml:space="preserve">beau</w:t>
      </w:r>
      <w:r>
        <w:rPr>
          <w:rFonts w:ascii="Times New Roman" w:hAnsi="Times New Roman" w:eastAsia="Times New Roman"/>
          <w:sz w:val="24"/>
        </w:rPr>
        <w:t xml:space="preserve">) : trois constructions sont ouvertes en même temps, et le flux est de</w:t>
      </w:r>
      <w:r>
        <w:rPr>
          <w:rFonts w:ascii="Times New Roman" w:hAnsi="Times New Roman" w:eastAsia="Times New Roman"/>
          <w:sz w:val="24"/>
        </w:rPr>
        <w:t xml:space="preserve"> </w:t>
      </w:r>
      <w:r>
        <w:rPr>
          <w:iCs/>
          <w:rFonts w:ascii="Times New Roman" w:hAnsi="Times New Roman" w:eastAsia="Times New Roman"/>
          <w:i/>
          <w:sz w:val="24"/>
        </w:rPr>
        <w:t xml:space="preserve">poids</w:t>
      </w:r>
      <w:r>
        <w:rPr>
          <w:rFonts w:ascii="Times New Roman" w:hAnsi="Times New Roman" w:eastAsia="Times New Roman"/>
          <w:sz w:val="24"/>
        </w:rPr>
        <w:t xml:space="preserve"> </w:t>
      </w:r>
      <w:r>
        <w:rPr>
          <w:rFonts w:ascii="Times New Roman" w:hAnsi="Times New Roman" w:eastAsia="Times New Roman"/>
          <w:sz w:val="24"/>
        </w:rPr>
        <w:t xml:space="preserve">3. Le flux est ce qui doit être maintenu en mémoire de travail pendant la production ou la compréhension. Nous montrons trois choses : (i) à longueur égale, l’oral a un flux plus grand que l’écrit, et ce surplus tient pour l’essentiel aux relations macrosyntaxiques et aux modifieurs antéposés au sujet ; (ii) le poids du flux, qui mesure l’enchâssement central, est le même à l’oral et à l’écrit ; (iii) les deux modalités ne remplissent pas le flux avec les mêmes relations : l’écrit le remplit de dépendances internes aux groupes nominaux, l’oral de dépendances verbales et macrosyntaxiques.</w:t>
      </w:r>
    </w:p>
    <w:p>
      <w:pPr>
        <w:pStyle w:val="CaptionedFigure"/>
        <w:jc w:val="center"/>
      </w:pPr>
      <w:r>
        <w:drawing>
          <wp:inline>
            <wp:extent cx="5759999" cy="2386285"/>
            <wp:effectExtent b="0" l="0" r="0" t="0"/>
            <wp:docPr descr="Figure 1 : Un énoncé de Rhapsodie analysé en SUD (ponctuation retirée), avec les catégories et les relations. Deux coupures : entre trajet et ce, le flux est de taille 1 ; entre très et beau, il est de taille 4 et de poids 3." title="" id="23" name="Picture"/>
            <a:graphic>
              <a:graphicData uri="http://schemas.openxmlformats.org/drawingml/2006/picture">
                <pic:pic>
                  <pic:nvPicPr>
                    <pic:cNvPr descr="fig/fig_exemple.png" id="24" name="Picture"/>
                    <pic:cNvPicPr>
                      <a:picLocks noChangeArrowheads="1" noChangeAspect="1"/>
                    </pic:cNvPicPr>
                  </pic:nvPicPr>
                  <pic:blipFill>
                    <a:blip r:embed="rId22"/>
                    <a:stretch>
                      <a:fillRect/>
                    </a:stretch>
                  </pic:blipFill>
                  <pic:spPr bwMode="auto">
                    <a:xfrm>
                      <a:off x="0" y="0"/>
                      <a:ext cx="5759999" cy="2386285"/>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2"/>
        </w:rPr>
        <w:t xml:space="preserve">Figure 1 : Un énoncé de Rhapsodie analysé en SUD (ponctuation retirée), avec les catégories et les relations. Deux coupures : entre</w:t>
      </w:r>
      <w:r>
        <w:rPr>
          <w:rFonts w:ascii="Times New Roman" w:hAnsi="Times New Roman" w:eastAsia="Times New Roman"/>
          <w:sz w:val="22"/>
        </w:rPr>
        <w:t xml:space="preserve"> </w:t>
      </w:r>
      <w:r>
        <w:rPr>
          <w:iCs/>
          <w:rFonts w:ascii="Times New Roman" w:hAnsi="Times New Roman" w:eastAsia="Times New Roman"/>
          <w:i/>
          <w:sz w:val="22"/>
        </w:rPr>
        <w:t xml:space="preserve">trajet</w:t>
      </w:r>
      <w:r>
        <w:rPr>
          <w:rFonts w:ascii="Times New Roman" w:hAnsi="Times New Roman" w:eastAsia="Times New Roman"/>
          <w:sz w:val="22"/>
        </w:rPr>
        <w:t xml:space="preserve"> </w:t>
      </w:r>
      <w:r>
        <w:rPr>
          <w:rFonts w:ascii="Times New Roman" w:hAnsi="Times New Roman" w:eastAsia="Times New Roman"/>
          <w:sz w:val="22"/>
        </w:rPr>
        <w:t xml:space="preserve">et</w:t>
      </w:r>
      <w:r>
        <w:rPr>
          <w:rFonts w:ascii="Times New Roman" w:hAnsi="Times New Roman" w:eastAsia="Times New Roman"/>
          <w:sz w:val="22"/>
        </w:rPr>
        <w:t xml:space="preserve"> </w:t>
      </w:r>
      <w:r>
        <w:rPr>
          <w:iCs/>
          <w:rFonts w:ascii="Times New Roman" w:hAnsi="Times New Roman" w:eastAsia="Times New Roman"/>
          <w:i/>
          <w:sz w:val="22"/>
        </w:rPr>
        <w:t xml:space="preserve">ce</w:t>
      </w:r>
      <w:r>
        <w:rPr>
          <w:rFonts w:ascii="Times New Roman" w:hAnsi="Times New Roman" w:eastAsia="Times New Roman"/>
          <w:sz w:val="22"/>
        </w:rPr>
        <w:t xml:space="preserve">, le flux est de taille 1 ; entre</w:t>
      </w:r>
      <w:r>
        <w:rPr>
          <w:rFonts w:ascii="Times New Roman" w:hAnsi="Times New Roman" w:eastAsia="Times New Roman"/>
          <w:sz w:val="22"/>
        </w:rPr>
        <w:t xml:space="preserve"> </w:t>
      </w:r>
      <w:r>
        <w:rPr>
          <w:iCs/>
          <w:rFonts w:ascii="Times New Roman" w:hAnsi="Times New Roman" w:eastAsia="Times New Roman"/>
          <w:i/>
          <w:sz w:val="22"/>
        </w:rPr>
        <w:t xml:space="preserve">très</w:t>
      </w:r>
      <w:r>
        <w:rPr>
          <w:rFonts w:ascii="Times New Roman" w:hAnsi="Times New Roman" w:eastAsia="Times New Roman"/>
          <w:sz w:val="22"/>
        </w:rPr>
        <w:t xml:space="preserve"> </w:t>
      </w:r>
      <w:r>
        <w:rPr>
          <w:rFonts w:ascii="Times New Roman" w:hAnsi="Times New Roman" w:eastAsia="Times New Roman"/>
          <w:sz w:val="22"/>
        </w:rPr>
        <w:t xml:space="preserve">et</w:t>
      </w:r>
      <w:r>
        <w:rPr>
          <w:rFonts w:ascii="Times New Roman" w:hAnsi="Times New Roman" w:eastAsia="Times New Roman"/>
          <w:sz w:val="22"/>
        </w:rPr>
        <w:t xml:space="preserve"> </w:t>
      </w:r>
      <w:r>
        <w:rPr>
          <w:iCs/>
          <w:rFonts w:ascii="Times New Roman" w:hAnsi="Times New Roman" w:eastAsia="Times New Roman"/>
          <w:i/>
          <w:sz w:val="22"/>
        </w:rPr>
        <w:t xml:space="preserve">beau</w:t>
      </w:r>
      <w:r>
        <w:rPr>
          <w:rFonts w:ascii="Times New Roman" w:hAnsi="Times New Roman" w:eastAsia="Times New Roman"/>
          <w:sz w:val="22"/>
        </w:rPr>
        <w:t xml:space="preserve">, il est de taille 4 et de poids 3.</w:t>
      </w:r>
    </w:p>
    <w:bookmarkEnd w:id="25"/>
    <w:bookmarkStart w:id="40" w:name="longueur-de-dépendance-et-flux"/>
    <w:p>
      <w:pPr>
        <w:pStyle w:val="Heading1"/>
      </w:pPr>
      <w:r>
        <w:rPr>
          <w:rFonts w:ascii="Times New Roman" w:hAnsi="Times New Roman" w:eastAsia="Times New Roman"/>
          <w:b/>
          <w:sz w:val="24"/>
        </w:rPr>
        <w:t xml:space="preserve">2. Longueur de dépendance et flux</w:t>
      </w:r>
    </w:p>
    <w:bookmarkStart w:id="26" w:name="Xd69b19797c6d1482c5da2e40bf1d4b95f4974b0"/>
    <w:p>
      <w:pPr>
        <w:pStyle w:val="Heading1"/>
      </w:pPr>
      <w:r>
        <w:rPr>
          <w:rFonts w:ascii="Times New Roman" w:hAnsi="Times New Roman" w:eastAsia="Times New Roman"/>
          <w:b/>
          <w:sz w:val="24"/>
        </w:rPr>
        <w:t xml:space="preserve">2.1. La minimisation de la longueur des dépendances</w:t>
      </w:r>
    </w:p>
    <w:p>
      <w:pPr>
        <w:pStyle w:val="BodyText"/>
        <w:jc w:val="both"/>
      </w:pPr>
      <w:r>
        <w:rPr>
          <w:rFonts w:ascii="Times New Roman" w:hAnsi="Times New Roman" w:eastAsia="Times New Roman"/>
          <w:sz w:val="24"/>
        </w:rPr>
        <w:t xml:space="preserve">La longueur d’une dépendance est la distance, en mots, entre un gouverneur et son dépendant. De nombreux travaux ont montré que les langues tendent à minimiser cette longueur (Hudson 1995 ; Gibson 1998 ; Ferrer-i-Cancho 2004 ; Liu 2008 ; Futrell, Mahowald &amp; Gibson 2015), et cette tendance (</w:t>
      </w:r>
      <w:r>
        <w:rPr>
          <w:iCs/>
          <w:rFonts w:ascii="Times New Roman" w:hAnsi="Times New Roman" w:eastAsia="Times New Roman"/>
          <w:i/>
          <w:sz w:val="24"/>
        </w:rPr>
        <w:t xml:space="preserve">dependency length minimization</w:t>
      </w:r>
      <w:r>
        <w:rPr>
          <w:rFonts w:ascii="Times New Roman" w:hAnsi="Times New Roman" w:eastAsia="Times New Roman"/>
          <w:sz w:val="24"/>
        </w:rPr>
        <w:t xml:space="preserve">, DLM) explique plusieurs propriétés de l’ordre des mots (Temperley 2008).</w:t>
      </w:r>
    </w:p>
    <w:p>
      <w:pPr>
        <w:pStyle w:val="BodyText"/>
        <w:jc w:val="both"/>
      </w:pPr>
      <w:r>
        <w:rPr>
          <w:rFonts w:ascii="Times New Roman" w:hAnsi="Times New Roman" w:eastAsia="Times New Roman"/>
          <w:sz w:val="24"/>
        </w:rPr>
        <w:t xml:space="preserve">La DLM explique aussi la préférence pour placer les compléments courts avant les longs, déjà formulée par Buffier (1709) et redécouverte sous les noms de</w:t>
      </w:r>
      <w:r>
        <w:rPr>
          <w:rFonts w:ascii="Times New Roman" w:hAnsi="Times New Roman" w:eastAsia="Times New Roman"/>
          <w:sz w:val="24"/>
        </w:rPr>
        <w:t xml:space="preserve"> </w:t>
      </w:r>
      <w:r>
        <w:rPr>
          <w:iCs/>
          <w:rFonts w:ascii="Times New Roman" w:hAnsi="Times New Roman" w:eastAsia="Times New Roman"/>
          <w:i/>
          <w:sz w:val="24"/>
        </w:rPr>
        <w:t xml:space="preserve">heavy constituent shift</w:t>
      </w:r>
      <w:r>
        <w:rPr>
          <w:rFonts w:ascii="Times New Roman" w:hAnsi="Times New Roman" w:eastAsia="Times New Roman"/>
          <w:sz w:val="24"/>
        </w:rPr>
        <w:t xml:space="preserve"> </w:t>
      </w:r>
      <w:r>
        <w:rPr>
          <w:rFonts w:ascii="Times New Roman" w:hAnsi="Times New Roman" w:eastAsia="Times New Roman"/>
          <w:sz w:val="24"/>
        </w:rPr>
        <w:t xml:space="preserve">(Ross 1967) ou de minimisation des domaines (Hawkins 1994, 2004). En (1a), phrase du corpus GSD, la somme des distances entre le verbe</w:t>
      </w:r>
      <w:r>
        <w:rPr>
          <w:rFonts w:ascii="Times New Roman" w:hAnsi="Times New Roman" w:eastAsia="Times New Roman"/>
          <w:sz w:val="24"/>
        </w:rPr>
        <w:t xml:space="preserve"> </w:t>
      </w:r>
      <w:r>
        <w:rPr>
          <w:iCs/>
          <w:rFonts w:ascii="Times New Roman" w:hAnsi="Times New Roman" w:eastAsia="Times New Roman"/>
          <w:i/>
          <w:sz w:val="24"/>
        </w:rPr>
        <w:t xml:space="preserve">offre</w:t>
      </w:r>
      <w:r>
        <w:rPr>
          <w:rFonts w:ascii="Times New Roman" w:hAnsi="Times New Roman" w:eastAsia="Times New Roman"/>
          <w:sz w:val="24"/>
        </w:rPr>
        <w:t xml:space="preserve"> </w:t>
      </w:r>
      <w:r>
        <w:rPr>
          <w:rFonts w:ascii="Times New Roman" w:hAnsi="Times New Roman" w:eastAsia="Times New Roman"/>
          <w:sz w:val="24"/>
        </w:rPr>
        <w:t xml:space="preserve">et les têtes de ses trois compléments vaut 1 + 2 + 5 = 8 ; dans l’ordre inverse (1b), elle vaut 2 + 6 + 8 = 16, les autres dépendances restant de longueur égale.</w:t>
      </w:r>
    </w:p>
    <w:p>
      <w:pPr>
        <w:pStyle w:val="ListParagraph"/>
        <w:spacing w:before="240" w:after="240"/>
        <w:jc w:val="left"/>
      </w:pPr>
      <w:r>
        <w:rPr>
          <w:rFonts w:ascii="Times New Roman" w:hAnsi="Times New Roman" w:eastAsia="Times New Roman"/>
          <w:sz w:val="22"/>
        </w:rPr>
        <w:t xml:space="preserve">(1) a. Celle-ci offre également aux randonneurs dix stations d’environnement informatives.</w:t>
      </w:r>
      <w:r>
        <w:rPr>
          <w:rFonts w:ascii="Times New Roman" w:hAnsi="Times New Roman" w:eastAsia="Times New Roman"/>
          <w:sz w:val="22"/>
        </w:rPr>
        <w:br/>
      </w:r>
      <w:r>
        <w:rPr>
          <w:rFonts w:ascii="Times New Roman" w:hAnsi="Times New Roman" w:eastAsia="Times New Roman"/>
          <w:sz w:val="22"/>
        </w:rPr>
        <w:t xml:space="preserve">b. Celle-ci offre dix stations d’environnement informatives aux randonneurs également.</w:t>
      </w:r>
    </w:p>
    <w:p>
      <w:pPr>
        <w:pStyle w:val="BodyText"/>
        <w:jc w:val="both"/>
      </w:pPr>
      <w:r>
        <w:rPr>
          <w:rFonts w:ascii="Times New Roman" w:hAnsi="Times New Roman" w:eastAsia="Times New Roman"/>
          <w:sz w:val="24"/>
        </w:rPr>
        <w:t xml:space="preserve">Elle rend compte enfin de la difficulté de l’enchâssement central. Chomsky (1957 : 21) a introduit cette notion pour montrer que l’anglais n’est pas un langage à états finis : les relatives peuvent en principe être enchâssées sans limite. Elles ne le peuvent pas en pratique, et trois niveaux d’enchâssement donnent déjà des phrases incompréhensibles (Chomsky &amp; Miller 1963 ; Reich 1969) :</w:t>
      </w:r>
    </w:p>
    <w:p>
      <w:pPr>
        <w:pStyle w:val="ListParagraph"/>
        <w:spacing w:before="240" w:after="240"/>
        <w:jc w:val="left"/>
      </w:pPr>
      <w:r>
        <w:rPr>
          <w:rFonts w:ascii="Times New Roman" w:hAnsi="Times New Roman" w:eastAsia="Times New Roman"/>
          <w:sz w:val="22"/>
        </w:rPr>
        <w:t xml:space="preserve">(2) The rat that the cat that the dog worried killed ate the malt.</w:t>
      </w:r>
    </w:p>
    <w:p>
      <w:pPr>
        <w:pStyle w:val="BodyText"/>
        <w:jc w:val="both"/>
      </w:pPr>
      <w:r>
        <w:rPr>
          <w:rFonts w:ascii="Times New Roman" w:hAnsi="Times New Roman" w:eastAsia="Times New Roman"/>
          <w:sz w:val="24"/>
        </w:rPr>
        <w:t xml:space="preserve">La traduction littérale de (2) en français est tout aussi incompréhensible (3a), alors que la passivation et l’inversion du sujet permettent d’exprimer le même contenu sans enchâssement central (3b) :</w:t>
      </w:r>
    </w:p>
    <w:p>
      <w:pPr>
        <w:pStyle w:val="ListParagraph"/>
        <w:spacing w:before="240" w:after="240"/>
        <w:jc w:val="left"/>
      </w:pPr>
      <w:r>
        <w:rPr>
          <w:rFonts w:ascii="Times New Roman" w:hAnsi="Times New Roman" w:eastAsia="Times New Roman"/>
          <w:sz w:val="22"/>
        </w:rPr>
        <w:t xml:space="preserve">(3) a. Le rat que le chat que le chien inquiétait a tué mangeait le malt.</w:t>
      </w:r>
      <w:r>
        <w:rPr>
          <w:rFonts w:ascii="Times New Roman" w:hAnsi="Times New Roman" w:eastAsia="Times New Roman"/>
          <w:sz w:val="22"/>
        </w:rPr>
        <w:br/>
      </w:r>
      <w:r>
        <w:rPr>
          <w:rFonts w:ascii="Times New Roman" w:hAnsi="Times New Roman" w:eastAsia="Times New Roman"/>
          <w:sz w:val="22"/>
        </w:rPr>
        <w:t xml:space="preserve">b. Le malt était mangé par le rat qui a été tué par le chat qu’inquiétait le chien.</w:t>
      </w:r>
    </w:p>
    <w:p>
      <w:pPr>
        <w:pStyle w:val="BodyText"/>
        <w:jc w:val="both"/>
      </w:pPr>
      <w:r>
        <w:rPr>
          <w:rFonts w:ascii="Times New Roman" w:hAnsi="Times New Roman" w:eastAsia="Times New Roman"/>
          <w:sz w:val="24"/>
        </w:rPr>
        <w:t xml:space="preserve">Les dépendances sont beaucoup plus longues en (3a) qu’en (3b) (celle entre</w:t>
      </w:r>
      <w:r>
        <w:rPr>
          <w:rFonts w:ascii="Times New Roman" w:hAnsi="Times New Roman" w:eastAsia="Times New Roman"/>
          <w:sz w:val="24"/>
        </w:rPr>
        <w:t xml:space="preserve"> </w:t>
      </w:r>
      <w:r>
        <w:rPr>
          <w:iCs/>
          <w:rFonts w:ascii="Times New Roman" w:hAnsi="Times New Roman" w:eastAsia="Times New Roman"/>
          <w:i/>
          <w:sz w:val="24"/>
        </w:rPr>
        <w:t xml:space="preserve">rat</w:t>
      </w:r>
      <w:r>
        <w:rPr>
          <w:rFonts w:ascii="Times New Roman" w:hAnsi="Times New Roman" w:eastAsia="Times New Roman"/>
          <w:sz w:val="24"/>
        </w:rPr>
        <w:t xml:space="preserve"> </w:t>
      </w:r>
      <w:r>
        <w:rPr>
          <w:rFonts w:ascii="Times New Roman" w:hAnsi="Times New Roman" w:eastAsia="Times New Roman"/>
          <w:sz w:val="24"/>
        </w:rPr>
        <w:t xml:space="preserve">et</w:t>
      </w:r>
      <w:r>
        <w:rPr>
          <w:rFonts w:ascii="Times New Roman" w:hAnsi="Times New Roman" w:eastAsia="Times New Roman"/>
          <w:sz w:val="24"/>
        </w:rPr>
        <w:t xml:space="preserve"> </w:t>
      </w:r>
      <w:r>
        <w:rPr>
          <w:iCs/>
          <w:rFonts w:ascii="Times New Roman" w:hAnsi="Times New Roman" w:eastAsia="Times New Roman"/>
          <w:i/>
          <w:sz w:val="24"/>
        </w:rPr>
        <w:t xml:space="preserve">mangeait</w:t>
      </w:r>
      <w:r>
        <w:rPr>
          <w:rFonts w:ascii="Times New Roman" w:hAnsi="Times New Roman" w:eastAsia="Times New Roman"/>
          <w:sz w:val="24"/>
        </w:rPr>
        <w:t xml:space="preserve"> </w:t>
      </w:r>
      <w:r>
        <w:rPr>
          <w:rFonts w:ascii="Times New Roman" w:hAnsi="Times New Roman" w:eastAsia="Times New Roman"/>
          <w:sz w:val="24"/>
        </w:rPr>
        <w:t xml:space="preserve">passe de 10 à 3), mais la DLM n’explique pas pourquoi l’enchâssement central devient inacceptable au-delà de deux niveaux, alors que de longues dépendances restent possibles. C’est ce que permet d’aborder le flux.</w:t>
      </w:r>
    </w:p>
    <w:bookmarkEnd w:id="26"/>
    <w:bookmarkStart w:id="30" w:name="taille-du-flux"/>
    <w:p>
      <w:pPr>
        <w:pStyle w:val="Heading1"/>
      </w:pPr>
      <w:r>
        <w:rPr>
          <w:rFonts w:ascii="Times New Roman" w:hAnsi="Times New Roman" w:eastAsia="Times New Roman"/>
          <w:b/>
          <w:sz w:val="24"/>
        </w:rPr>
        <w:t xml:space="preserve">2.2. Taille du flux</w:t>
      </w:r>
    </w:p>
    <w:p>
      <w:pPr>
        <w:pStyle w:val="BodyText"/>
        <w:jc w:val="both"/>
      </w:pPr>
      <w:r>
        <w:rPr>
          <w:rFonts w:ascii="Times New Roman" w:hAnsi="Times New Roman" w:eastAsia="Times New Roman"/>
          <w:sz w:val="24"/>
        </w:rPr>
        <w:t xml:space="preserve">Le flux en une position entre deux mots est l’ensemble des dépendances qui relient un mot situé avant cette position à un mot situé après ; sa</w:t>
      </w:r>
      <w:r>
        <w:rPr>
          <w:rFonts w:ascii="Times New Roman" w:hAnsi="Times New Roman" w:eastAsia="Times New Roman"/>
          <w:sz w:val="24"/>
        </w:rPr>
        <w:t xml:space="preserve"> </w:t>
      </w:r>
      <w:r>
        <w:rPr>
          <w:iCs/>
          <w:rFonts w:ascii="Times New Roman" w:hAnsi="Times New Roman" w:eastAsia="Times New Roman"/>
          <w:i/>
          <w:sz w:val="24"/>
        </w:rPr>
        <w:t xml:space="preserve">taille</w:t>
      </w:r>
      <w:r>
        <w:rPr>
          <w:rFonts w:ascii="Times New Roman" w:hAnsi="Times New Roman" w:eastAsia="Times New Roman"/>
          <w:sz w:val="24"/>
        </w:rPr>
        <w:t xml:space="preserve"> </w:t>
      </w:r>
      <w:r>
        <w:rPr>
          <w:rFonts w:ascii="Times New Roman" w:hAnsi="Times New Roman" w:eastAsia="Times New Roman"/>
          <w:sz w:val="24"/>
        </w:rPr>
        <w:t xml:space="preserve">est le nombre de ces dépendances. La figure 2 montre la relation entre taille du flux et longueur de dépendance : chaque point rouge est l’intersection d’une dépendance et d’une position inter-mots. La somme des points d’une colonne donne la taille du flux en cette position ; la somme des points d’une dépendance donne sa longueur. Les deux totaux sont égaux et, comme une phrase de</w:t>
      </w:r>
      <w:r>
        <w:rPr>
          <w:rFonts w:ascii="Times New Roman" w:hAnsi="Times New Roman" w:eastAsia="Times New Roman"/>
          <w:sz w:val="24"/>
        </w:rPr>
        <w:t xml:space="preserve"> </w:t>
      </w:r>
      <w:r>
        <w:rPr>
          <w:iCs/>
          <w:rFonts w:ascii="Times New Roman" w:hAnsi="Times New Roman" w:eastAsia="Times New Roman"/>
          <w:i/>
          <w:sz w:val="24"/>
        </w:rPr>
        <w:t xml:space="preserve">n</w:t>
      </w:r>
      <w:r>
        <w:rPr>
          <w:rFonts w:ascii="Times New Roman" w:hAnsi="Times New Roman" w:eastAsia="Times New Roman"/>
          <w:sz w:val="24"/>
        </w:rPr>
        <w:t xml:space="preserve"> </w:t>
      </w:r>
      <w:r>
        <w:rPr>
          <w:rFonts w:ascii="Times New Roman" w:hAnsi="Times New Roman" w:eastAsia="Times New Roman"/>
          <w:sz w:val="24"/>
        </w:rPr>
        <w:t xml:space="preserve">mots a</w:t>
      </w:r>
      <w:r>
        <w:rPr>
          <w:rFonts w:ascii="Times New Roman" w:hAnsi="Times New Roman" w:eastAsia="Times New Roman"/>
          <w:sz w:val="24"/>
        </w:rPr>
        <w:t xml:space="preserve"> </w:t>
      </w:r>
      <w:r>
        <w:rPr>
          <w:iCs/>
          <w:rFonts w:ascii="Times New Roman" w:hAnsi="Times New Roman" w:eastAsia="Times New Roman"/>
          <w:i/>
          <w:sz w:val="24"/>
        </w:rPr>
        <w:t xml:space="preserve">n</w:t>
      </w:r>
      <w:r>
        <w:rPr>
          <w:rFonts w:ascii="Times New Roman" w:hAnsi="Times New Roman" w:eastAsia="Times New Roman"/>
          <w:sz w:val="24"/>
        </w:rPr>
        <w:t xml:space="preserve"> </w:t>
      </w:r>
      <w:r>
        <w:rPr>
          <w:rFonts w:ascii="Times New Roman" w:hAnsi="Times New Roman" w:eastAsia="Times New Roman"/>
          <w:sz w:val="24"/>
        </w:rPr>
        <w:t xml:space="preserve">− 1 dépendances et</w:t>
      </w:r>
      <w:r>
        <w:rPr>
          <w:rFonts w:ascii="Times New Roman" w:hAnsi="Times New Roman" w:eastAsia="Times New Roman"/>
          <w:sz w:val="24"/>
        </w:rPr>
        <w:t xml:space="preserve"> </w:t>
      </w:r>
      <w:r>
        <w:rPr>
          <w:iCs/>
          <w:rFonts w:ascii="Times New Roman" w:hAnsi="Times New Roman" w:eastAsia="Times New Roman"/>
          <w:i/>
          <w:sz w:val="24"/>
        </w:rPr>
        <w:t xml:space="preserve">n</w:t>
      </w:r>
      <w:r>
        <w:rPr>
          <w:rFonts w:ascii="Times New Roman" w:hAnsi="Times New Roman" w:eastAsia="Times New Roman"/>
          <w:sz w:val="24"/>
        </w:rPr>
        <w:t xml:space="preserve"> </w:t>
      </w:r>
      <w:r>
        <w:rPr>
          <w:rFonts w:ascii="Times New Roman" w:hAnsi="Times New Roman" w:eastAsia="Times New Roman"/>
          <w:sz w:val="24"/>
        </w:rPr>
        <w:t xml:space="preserve">− 1 positions inter-mots, la longueur moyenne des dépendances est égale à la taille moyenne du flux. Minimiser la longueur des dépendances, c’est minimiser la taille du flux.</w:t>
      </w:r>
    </w:p>
    <w:p>
      <w:pPr>
        <w:pStyle w:val="CaptionedFigure"/>
        <w:jc w:val="center"/>
      </w:pPr>
      <w:r>
        <w:drawing>
          <wp:inline>
            <wp:extent cx="5759999" cy="1974857"/>
            <wp:effectExtent b="0" l="0" r="0" t="0"/>
            <wp:docPr descr="Figure 2 : Taille du flux (en haut) et longueur des dépendances (en bas) de la phrase (1a), analysée en SUD. Chaque point rouge est l’intersection d’une dépendance et d’une position entre deux mots." title="" id="28" name="Picture"/>
            <a:graphic>
              <a:graphicData uri="http://schemas.openxmlformats.org/drawingml/2006/picture">
                <pic:pic>
                  <pic:nvPicPr>
                    <pic:cNvPr descr="fig/fig1_points.png" id="29" name="Picture"/>
                    <pic:cNvPicPr>
                      <a:picLocks noChangeArrowheads="1" noChangeAspect="1"/>
                    </pic:cNvPicPr>
                  </pic:nvPicPr>
                  <pic:blipFill>
                    <a:blip r:embed="rId27"/>
                    <a:stretch>
                      <a:fillRect/>
                    </a:stretch>
                  </pic:blipFill>
                  <pic:spPr bwMode="auto">
                    <a:xfrm>
                      <a:off x="0" y="0"/>
                      <a:ext cx="5759999" cy="1974857"/>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2"/>
        </w:rPr>
        <w:t xml:space="preserve">Figure 2 : Taille du flux (en haut) et longueur des dépendances (en bas) de la phrase (1a), analysée en SUD. Chaque point rouge est l’intersection d’une dépendance et d’une position entre deux mots.</w:t>
      </w:r>
    </w:p>
    <w:p>
      <w:pPr>
        <w:pStyle w:val="BodyText"/>
        <w:jc w:val="both"/>
      </w:pPr>
      <w:r>
        <w:rPr>
          <w:rFonts w:ascii="Times New Roman" w:hAnsi="Times New Roman" w:eastAsia="Times New Roman"/>
          <w:sz w:val="24"/>
        </w:rPr>
        <w:t xml:space="preserve">Les deux formulations n’ont pas la même interprétation. Pour la DLM, une dépendance longue est coûteuse parce que l’information se dégrade en mémoire pendant qu’on attend le second mot (Gibson 1998) ; pour la minimisation du flux, ce qui est coûteux est le nombre de dépendances à traiter simultanément. Les deux interprétations sont plausibles, mais la mémoire de travail, qui comprend la mémoire à court terme (Cowan 2008), a une capacité très strictement limitée (Miller 1956 ; Cowan 2001 ; Engle 2002) : nous faisons donc l’hypothèse que les contraintes portent davantage sur la taille du flux que sur la longueur des dépendances. Une mémoire de travail limitée explique d’ailleurs aussi la dégradation de l’information : les dépendances très longues chargent la mémoire et franchissent souvent mal le goulot d’étranglement que décrivent Christiansen &amp; Chater (2016).</w:t>
      </w:r>
    </w:p>
    <w:bookmarkEnd w:id="30"/>
    <w:bookmarkStart w:id="34" w:name="poids-du-flux"/>
    <w:p>
      <w:pPr>
        <w:pStyle w:val="Heading1"/>
      </w:pPr>
      <w:r>
        <w:rPr>
          <w:rFonts w:ascii="Times New Roman" w:hAnsi="Times New Roman" w:eastAsia="Times New Roman"/>
          <w:b/>
          <w:sz w:val="24"/>
        </w:rPr>
        <w:t xml:space="preserve">2.3. Poids du flux</w:t>
      </w:r>
    </w:p>
    <w:p>
      <w:pPr>
        <w:pStyle w:val="BodyText"/>
        <w:jc w:val="both"/>
      </w:pPr>
      <w:r>
        <w:rPr>
          <w:rFonts w:ascii="Times New Roman" w:hAnsi="Times New Roman" w:eastAsia="Times New Roman"/>
          <w:sz w:val="24"/>
        </w:rPr>
        <w:t xml:space="preserve">Le flux a une structure. Des dépendances qui partagent un mot à l’une de leurs extrémités forment un</w:t>
      </w:r>
      <w:r>
        <w:rPr>
          <w:rFonts w:ascii="Times New Roman" w:hAnsi="Times New Roman" w:eastAsia="Times New Roman"/>
          <w:sz w:val="24"/>
        </w:rPr>
        <w:t xml:space="preserve"> </w:t>
      </w:r>
      <w:r>
        <w:rPr>
          <w:iCs/>
          <w:rFonts w:ascii="Times New Roman" w:hAnsi="Times New Roman" w:eastAsia="Times New Roman"/>
          <w:i/>
          <w:sz w:val="24"/>
        </w:rPr>
        <w:t xml:space="preserve">bouquet</w:t>
      </w:r>
      <w:r>
        <w:rPr>
          <w:rFonts w:ascii="Times New Roman" w:hAnsi="Times New Roman" w:eastAsia="Times New Roman"/>
          <w:sz w:val="24"/>
        </w:rPr>
        <w:t xml:space="preserve"> </w:t>
      </w:r>
      <w:r>
        <w:rPr>
          <w:rFonts w:ascii="Times New Roman" w:hAnsi="Times New Roman" w:eastAsia="Times New Roman"/>
          <w:sz w:val="24"/>
        </w:rPr>
        <w:t xml:space="preserve">et peuvent être regroupées : un verbe et ses compléments en attente ne représentent qu’une unité à maintenir. Des dépendances qui ne partagent aucun mot sont</w:t>
      </w:r>
      <w:r>
        <w:rPr>
          <w:rFonts w:ascii="Times New Roman" w:hAnsi="Times New Roman" w:eastAsia="Times New Roman"/>
          <w:sz w:val="24"/>
        </w:rPr>
        <w:t xml:space="preserve"> </w:t>
      </w:r>
      <w:r>
        <w:rPr>
          <w:iCs/>
          <w:rFonts w:ascii="Times New Roman" w:hAnsi="Times New Roman" w:eastAsia="Times New Roman"/>
          <w:i/>
          <w:sz w:val="24"/>
        </w:rPr>
        <w:t xml:space="preserve">disjointes</w:t>
      </w:r>
      <w:r>
        <w:rPr>
          <w:rFonts w:ascii="Times New Roman" w:hAnsi="Times New Roman" w:eastAsia="Times New Roman"/>
          <w:sz w:val="24"/>
        </w:rPr>
        <w:t xml:space="preserve"> </w:t>
      </w:r>
      <w:r>
        <w:rPr>
          <w:rFonts w:ascii="Times New Roman" w:hAnsi="Times New Roman" w:eastAsia="Times New Roman"/>
          <w:sz w:val="24"/>
        </w:rPr>
        <w:t xml:space="preserve">et doivent être maintenues séparément ; ce sont elles qui caractérisent l’enchâssement central. En (3a), après</w:t>
      </w:r>
      <w:r>
        <w:rPr>
          <w:rFonts w:ascii="Times New Roman" w:hAnsi="Times New Roman" w:eastAsia="Times New Roman"/>
          <w:sz w:val="24"/>
        </w:rPr>
        <w:t xml:space="preserve"> </w:t>
      </w:r>
      <w:r>
        <w:rPr>
          <w:iCs/>
          <w:rFonts w:ascii="Times New Roman" w:hAnsi="Times New Roman" w:eastAsia="Times New Roman"/>
          <w:i/>
          <w:sz w:val="24"/>
        </w:rPr>
        <w:t xml:space="preserve">chien</w:t>
      </w:r>
      <w:r>
        <w:rPr>
          <w:rFonts w:ascii="Times New Roman" w:hAnsi="Times New Roman" w:eastAsia="Times New Roman"/>
          <w:sz w:val="24"/>
        </w:rPr>
        <w:t xml:space="preserve">, trois sujets attendent leurs verbes respectifs (</w:t>
      </w:r>
      <w:r>
        <w:rPr>
          <w:iCs/>
          <w:rFonts w:ascii="Times New Roman" w:hAnsi="Times New Roman" w:eastAsia="Times New Roman"/>
          <w:i/>
          <w:sz w:val="24"/>
        </w:rPr>
        <w:t xml:space="preserve">rat</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chat</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chien</w:t>
      </w:r>
      <w:r>
        <w:rPr>
          <w:rFonts w:ascii="Times New Roman" w:hAnsi="Times New Roman" w:eastAsia="Times New Roman"/>
          <w:sz w:val="24"/>
        </w:rPr>
        <w:t xml:space="preserve">), soit trois dépendances disjointes. Le</w:t>
      </w:r>
      <w:r>
        <w:rPr>
          <w:rFonts w:ascii="Times New Roman" w:hAnsi="Times New Roman" w:eastAsia="Times New Roman"/>
          <w:sz w:val="24"/>
        </w:rPr>
        <w:t xml:space="preserve"> </w:t>
      </w:r>
      <w:r>
        <w:rPr>
          <w:iCs/>
          <w:rFonts w:ascii="Times New Roman" w:hAnsi="Times New Roman" w:eastAsia="Times New Roman"/>
          <w:i/>
          <w:sz w:val="24"/>
        </w:rPr>
        <w:t xml:space="preserve">poids</w:t>
      </w:r>
      <w:r>
        <w:rPr>
          <w:rFonts w:ascii="Times New Roman" w:hAnsi="Times New Roman" w:eastAsia="Times New Roman"/>
          <w:sz w:val="24"/>
        </w:rPr>
        <w:t xml:space="preserve"> </w:t>
      </w:r>
      <w:r>
        <w:rPr>
          <w:rFonts w:ascii="Times New Roman" w:hAnsi="Times New Roman" w:eastAsia="Times New Roman"/>
          <w:sz w:val="24"/>
        </w:rPr>
        <w:t xml:space="preserve">du flux est le nombre maximal de dépendances deux à deux disjointes qu’il contient (Kahane et al. 2017). Botalla (2014) représente le flux en une position par une matrice dont les lignes sont les mots de gauche, les colonnes les mots de droite et les cases les dépendances : le poids est le plus grand nombre de cases qu’on peut choisir sans prendre deux fois la même ligne ou la même colonne. La figure 3 reprend l’énoncé de la figure 1, coupé entre</w:t>
      </w:r>
      <w:r>
        <w:rPr>
          <w:rFonts w:ascii="Times New Roman" w:hAnsi="Times New Roman" w:eastAsia="Times New Roman"/>
          <w:sz w:val="24"/>
        </w:rPr>
        <w:t xml:space="preserve"> </w:t>
      </w:r>
      <w:r>
        <w:rPr>
          <w:iCs/>
          <w:rFonts w:ascii="Times New Roman" w:hAnsi="Times New Roman" w:eastAsia="Times New Roman"/>
          <w:i/>
          <w:sz w:val="24"/>
        </w:rPr>
        <w:t xml:space="preserve">un</w:t>
      </w:r>
      <w:r>
        <w:rPr>
          <w:rFonts w:ascii="Times New Roman" w:hAnsi="Times New Roman" w:eastAsia="Times New Roman"/>
          <w:sz w:val="24"/>
        </w:rPr>
        <w:t xml:space="preserve"> </w:t>
      </w:r>
      <w:r>
        <w:rPr>
          <w:rFonts w:ascii="Times New Roman" w:hAnsi="Times New Roman" w:eastAsia="Times New Roman"/>
          <w:sz w:val="24"/>
        </w:rPr>
        <w:t xml:space="preserve">et</w:t>
      </w:r>
      <w:r>
        <w:rPr>
          <w:rFonts w:ascii="Times New Roman" w:hAnsi="Times New Roman" w:eastAsia="Times New Roman"/>
          <w:sz w:val="24"/>
        </w:rPr>
        <w:t xml:space="preserve"> </w:t>
      </w:r>
      <w:r>
        <w:rPr>
          <w:iCs/>
          <w:rFonts w:ascii="Times New Roman" w:hAnsi="Times New Roman" w:eastAsia="Times New Roman"/>
          <w:i/>
          <w:sz w:val="24"/>
        </w:rPr>
        <w:t xml:space="preserve">très</w:t>
      </w:r>
      <w:r>
        <w:rPr>
          <w:rFonts w:ascii="Times New Roman" w:hAnsi="Times New Roman" w:eastAsia="Times New Roman"/>
          <w:sz w:val="24"/>
        </w:rPr>
        <w:t xml:space="preserve"> : trois dépendances enjambent la coupure (</w:t>
      </w:r>
      <w:r>
        <w:rPr>
          <w:iCs/>
          <w:rFonts w:ascii="Times New Roman" w:hAnsi="Times New Roman" w:eastAsia="Times New Roman"/>
          <w:i/>
          <w:sz w:val="24"/>
        </w:rPr>
        <w:t xml:space="preserve">est</w:t>
      </w:r>
      <w:r>
        <w:rPr>
          <w:rFonts w:ascii="Times New Roman" w:hAnsi="Times New Roman" w:eastAsia="Times New Roman"/>
          <w:sz w:val="24"/>
        </w:rPr>
        <w:t xml:space="preserve">–</w:t>
      </w:r>
      <w:r>
        <w:rPr>
          <w:iCs/>
          <w:rFonts w:ascii="Times New Roman" w:hAnsi="Times New Roman" w:eastAsia="Times New Roman"/>
          <w:i/>
          <w:sz w:val="24"/>
        </w:rPr>
        <w:t xml:space="preserve">trajet</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est</w:t>
      </w:r>
      <w:r>
        <w:rPr>
          <w:rFonts w:ascii="Times New Roman" w:hAnsi="Times New Roman" w:eastAsia="Times New Roman"/>
          <w:sz w:val="24"/>
        </w:rPr>
        <w:t xml:space="preserve">–</w:t>
      </w:r>
      <w:r>
        <w:rPr>
          <w:iCs/>
          <w:rFonts w:ascii="Times New Roman" w:hAnsi="Times New Roman" w:eastAsia="Times New Roman"/>
          <w:i/>
          <w:sz w:val="24"/>
        </w:rPr>
        <w:t xml:space="preserve">quatre-vingt-six</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un</w:t>
      </w:r>
      <w:r>
        <w:rPr>
          <w:rFonts w:ascii="Times New Roman" w:hAnsi="Times New Roman" w:eastAsia="Times New Roman"/>
          <w:sz w:val="24"/>
        </w:rPr>
        <w:t xml:space="preserve">–</w:t>
      </w:r>
      <w:r>
        <w:rPr>
          <w:iCs/>
          <w:rFonts w:ascii="Times New Roman" w:hAnsi="Times New Roman" w:eastAsia="Times New Roman"/>
          <w:i/>
          <w:sz w:val="24"/>
        </w:rPr>
        <w:t xml:space="preserve">trajet</w:t>
      </w:r>
      <w:r>
        <w:rPr>
          <w:rFonts w:ascii="Times New Roman" w:hAnsi="Times New Roman" w:eastAsia="Times New Roman"/>
          <w:sz w:val="24"/>
        </w:rPr>
        <w:t xml:space="preserve">), soit un flux de taille 3 ; mais les deux premières partagent</w:t>
      </w:r>
      <w:r>
        <w:rPr>
          <w:rFonts w:ascii="Times New Roman" w:hAnsi="Times New Roman" w:eastAsia="Times New Roman"/>
          <w:sz w:val="24"/>
        </w:rPr>
        <w:t xml:space="preserve"> </w:t>
      </w:r>
      <w:r>
        <w:rPr>
          <w:iCs/>
          <w:rFonts w:ascii="Times New Roman" w:hAnsi="Times New Roman" w:eastAsia="Times New Roman"/>
          <w:i/>
          <w:sz w:val="24"/>
        </w:rPr>
        <w:t xml:space="preserve">est</w:t>
      </w:r>
      <w:r>
        <w:rPr>
          <w:rFonts w:ascii="Times New Roman" w:hAnsi="Times New Roman" w:eastAsia="Times New Roman"/>
          <w:sz w:val="24"/>
        </w:rPr>
        <w:t xml:space="preserve"> </w:t>
      </w:r>
      <w:r>
        <w:rPr>
          <w:rFonts w:ascii="Times New Roman" w:hAnsi="Times New Roman" w:eastAsia="Times New Roman"/>
          <w:sz w:val="24"/>
        </w:rPr>
        <w:t xml:space="preserve">et la première et la troisième partagent</w:t>
      </w:r>
      <w:r>
        <w:rPr>
          <w:rFonts w:ascii="Times New Roman" w:hAnsi="Times New Roman" w:eastAsia="Times New Roman"/>
          <w:sz w:val="24"/>
        </w:rPr>
        <w:t xml:space="preserve"> </w:t>
      </w:r>
      <w:r>
        <w:rPr>
          <w:iCs/>
          <w:rFonts w:ascii="Times New Roman" w:hAnsi="Times New Roman" w:eastAsia="Times New Roman"/>
          <w:i/>
          <w:sz w:val="24"/>
        </w:rPr>
        <w:t xml:space="preserve">trajet</w:t>
      </w:r>
      <w:r>
        <w:rPr>
          <w:rFonts w:ascii="Times New Roman" w:hAnsi="Times New Roman" w:eastAsia="Times New Roman"/>
          <w:sz w:val="24"/>
        </w:rPr>
        <w:t xml:space="preserve">, et l’on ne peut en choisir que deux sans mot commun : le poids est 2. Dans la matrice, les deux cases retenues ne sont ni sur la même ligne ni sur la même colonne. C’est sous cette forme, avec la catégorie des mots et la relation de chaque case, que nous analyserons la composition des flux (section 4.3).</w:t>
      </w:r>
    </w:p>
    <w:p>
      <w:pPr>
        <w:pStyle w:val="CaptionedFigure"/>
        <w:jc w:val="center"/>
      </w:pPr>
      <w:r>
        <w:drawing>
          <wp:inline>
            <wp:extent cx="5039999" cy="2951999"/>
            <wp:effectExtent b="0" l="0" r="0" t="0"/>
            <wp:docPr descr="Figure 3 : L’énoncé de la figure 1 coupé entre un et très : flux de taille 3 et de poids 2. En bas, la matrice de Botalla de ce flux ; les deux cases entourées forment un ensemble maximal de dépendances disjointes." title="" id="32" name="Picture"/>
            <a:graphic>
              <a:graphicData uri="http://schemas.openxmlformats.org/drawingml/2006/picture">
                <pic:pic>
                  <pic:nvPicPr>
                    <pic:cNvPr descr="fig/fig_poids.png" id="33" name="Picture"/>
                    <pic:cNvPicPr>
                      <a:picLocks noChangeArrowheads="1" noChangeAspect="1"/>
                    </pic:cNvPicPr>
                  </pic:nvPicPr>
                  <pic:blipFill>
                    <a:blip r:embed="rId31"/>
                    <a:stretch>
                      <a:fillRect/>
                    </a:stretch>
                  </pic:blipFill>
                  <pic:spPr bwMode="auto">
                    <a:xfrm>
                      <a:off x="0" y="0"/>
                      <a:ext cx="5039999" cy="2951999"/>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2"/>
        </w:rPr>
        <w:t xml:space="preserve">Figure 3 : L’énoncé de la figure 1 coupé entre</w:t>
      </w:r>
      <w:r>
        <w:rPr>
          <w:rFonts w:ascii="Times New Roman" w:hAnsi="Times New Roman" w:eastAsia="Times New Roman"/>
          <w:sz w:val="22"/>
        </w:rPr>
        <w:t xml:space="preserve"> </w:t>
      </w:r>
      <w:r>
        <w:rPr>
          <w:iCs/>
          <w:rFonts w:ascii="Times New Roman" w:hAnsi="Times New Roman" w:eastAsia="Times New Roman"/>
          <w:i/>
          <w:sz w:val="22"/>
        </w:rPr>
        <w:t xml:space="preserve">un</w:t>
      </w:r>
      <w:r>
        <w:rPr>
          <w:rFonts w:ascii="Times New Roman" w:hAnsi="Times New Roman" w:eastAsia="Times New Roman"/>
          <w:sz w:val="22"/>
        </w:rPr>
        <w:t xml:space="preserve"> </w:t>
      </w:r>
      <w:r>
        <w:rPr>
          <w:rFonts w:ascii="Times New Roman" w:hAnsi="Times New Roman" w:eastAsia="Times New Roman"/>
          <w:sz w:val="22"/>
        </w:rPr>
        <w:t xml:space="preserve">et</w:t>
      </w:r>
      <w:r>
        <w:rPr>
          <w:rFonts w:ascii="Times New Roman" w:hAnsi="Times New Roman" w:eastAsia="Times New Roman"/>
          <w:sz w:val="22"/>
        </w:rPr>
        <w:t xml:space="preserve"> </w:t>
      </w:r>
      <w:r>
        <w:rPr>
          <w:iCs/>
          <w:rFonts w:ascii="Times New Roman" w:hAnsi="Times New Roman" w:eastAsia="Times New Roman"/>
          <w:i/>
          <w:sz w:val="22"/>
        </w:rPr>
        <w:t xml:space="preserve">très</w:t>
      </w:r>
      <w:r>
        <w:rPr>
          <w:rFonts w:ascii="Times New Roman" w:hAnsi="Times New Roman" w:eastAsia="Times New Roman"/>
          <w:sz w:val="22"/>
        </w:rPr>
        <w:t xml:space="preserve"> : flux de taille 3 et de poids 2. En bas, la matrice de Botalla de ce flux ; les deux cases entourées forment un ensemble maximal de dépendances disjointes.</w:t>
      </w:r>
    </w:p>
    <w:bookmarkEnd w:id="34"/>
    <w:bookmarkStart w:id="39" w:name="lindice-de-saturation"/>
    <w:p>
      <w:pPr>
        <w:pStyle w:val="Heading1"/>
      </w:pPr>
      <w:r>
        <w:rPr>
          <w:rFonts w:ascii="Times New Roman" w:hAnsi="Times New Roman" w:eastAsia="Times New Roman"/>
          <w:b/>
          <w:sz w:val="24"/>
        </w:rPr>
        <w:t xml:space="preserve">2.4. L’indice de saturation</w:t>
      </w:r>
    </w:p>
    <w:p>
      <w:pPr>
        <w:pStyle w:val="BodyText"/>
        <w:jc w:val="both"/>
      </w:pPr>
      <w:r>
        <w:rPr>
          <w:rFonts w:ascii="Times New Roman" w:hAnsi="Times New Roman" w:eastAsia="Times New Roman"/>
          <w:sz w:val="24"/>
        </w:rPr>
        <w:t xml:space="preserve">Soit</w:t>
      </w:r>
      <w:r>
        <w:rPr>
          <w:rFonts w:ascii="Times New Roman" w:hAnsi="Times New Roman" w:eastAsia="Times New Roman"/>
          <w:sz w:val="24"/>
        </w:rPr>
        <w:t xml:space="preserve"> </w:t>
      </w:r>
      <w:r>
        <w:rPr>
          <w:iCs/>
          <w:rFonts w:ascii="Times New Roman" w:hAnsi="Times New Roman" w:eastAsia="Times New Roman"/>
          <w:i/>
          <w:sz w:val="24"/>
        </w:rPr>
        <w:t xml:space="preserve">p</w:t>
      </w:r>
      <w:r>
        <w:rPr>
          <w:rFonts w:ascii="Times New Roman" w:hAnsi="Times New Roman" w:eastAsia="Times New Roman"/>
          <w:sz w:val="24"/>
        </w:rPr>
        <w:t xml:space="preserve">(</w:t>
      </w:r>
      <w:r>
        <w:rPr>
          <w:iCs/>
          <w:rFonts w:ascii="Times New Roman" w:hAnsi="Times New Roman" w:eastAsia="Times New Roman"/>
          <w:i/>
          <w:sz w:val="24"/>
        </w:rPr>
        <w:t xml:space="preserve">n</w:t>
      </w:r>
      <w:r>
        <w:rPr>
          <w:rFonts w:ascii="Times New Roman" w:hAnsi="Times New Roman" w:eastAsia="Times New Roman"/>
          <w:sz w:val="24"/>
        </w:rPr>
        <w:t xml:space="preserve">) la fréquence relative de la valeur</w:t>
      </w:r>
      <w:r>
        <w:rPr>
          <w:rFonts w:ascii="Times New Roman" w:hAnsi="Times New Roman" w:eastAsia="Times New Roman"/>
          <w:sz w:val="24"/>
        </w:rPr>
        <w:t xml:space="preserve"> </w:t>
      </w:r>
      <w:r>
        <w:rPr>
          <w:iCs/>
          <w:rFonts w:ascii="Times New Roman" w:hAnsi="Times New Roman" w:eastAsia="Times New Roman"/>
          <w:i/>
          <w:sz w:val="24"/>
        </w:rPr>
        <w:t xml:space="preserve">n</w:t>
      </w:r>
      <w:r>
        <w:rPr>
          <w:rFonts w:ascii="Times New Roman" w:hAnsi="Times New Roman" w:eastAsia="Times New Roman"/>
          <w:sz w:val="24"/>
        </w:rPr>
        <w:t xml:space="preserve"> </w:t>
      </w:r>
      <w:r>
        <w:rPr>
          <w:rFonts w:ascii="Times New Roman" w:hAnsi="Times New Roman" w:eastAsia="Times New Roman"/>
          <w:sz w:val="24"/>
        </w:rPr>
        <w:t xml:space="preserve">d’une mesure : la part des dépendances de longueur</w:t>
      </w:r>
      <w:r>
        <w:rPr>
          <w:rFonts w:ascii="Times New Roman" w:hAnsi="Times New Roman" w:eastAsia="Times New Roman"/>
          <w:sz w:val="24"/>
        </w:rPr>
        <w:t xml:space="preserve"> </w:t>
      </w:r>
      <w:r>
        <w:rPr>
          <w:iCs/>
          <w:rFonts w:ascii="Times New Roman" w:hAnsi="Times New Roman" w:eastAsia="Times New Roman"/>
          <w:i/>
          <w:sz w:val="24"/>
        </w:rPr>
        <w:t xml:space="preserve">n</w:t>
      </w:r>
      <w:r>
        <w:rPr>
          <w:rFonts w:ascii="Times New Roman" w:hAnsi="Times New Roman" w:eastAsia="Times New Roman"/>
          <w:sz w:val="24"/>
        </w:rPr>
        <w:t xml:space="preserve">, ou la part des positions où le flux a une taille ou un poids</w:t>
      </w:r>
      <w:r>
        <w:rPr>
          <w:rFonts w:ascii="Times New Roman" w:hAnsi="Times New Roman" w:eastAsia="Times New Roman"/>
          <w:sz w:val="24"/>
        </w:rPr>
        <w:t xml:space="preserve"> </w:t>
      </w:r>
      <w:r>
        <w:rPr>
          <w:iCs/>
          <w:rFonts w:ascii="Times New Roman" w:hAnsi="Times New Roman" w:eastAsia="Times New Roman"/>
          <w:i/>
          <w:sz w:val="24"/>
        </w:rPr>
        <w:t xml:space="preserve">n</w:t>
      </w:r>
      <w:r>
        <w:rPr>
          <w:rFonts w:ascii="Times New Roman" w:hAnsi="Times New Roman" w:eastAsia="Times New Roman"/>
          <w:sz w:val="24"/>
        </w:rPr>
        <w:t xml:space="preserve">. Les distributions de la taille et du poids du flux décroissent beaucoup plus vite que celle de la longueur des dépendances : la figure 4 montre les trois distributions dans le corpus Rhapsodie, pour les unités de 10 à 19 mots. Nous les décrivons par une loi de puissance avec coupure exponentielle,</w:t>
      </w:r>
      <w:r>
        <w:rPr>
          <w:rFonts w:ascii="Times New Roman" w:hAnsi="Times New Roman" w:eastAsia="Times New Roman"/>
          <w:sz w:val="24"/>
        </w:rPr>
        <w:t xml:space="preserve"> </w:t>
      </w:r>
      <w:r>
        <w:rPr>
          <w:iCs/>
          <w:rFonts w:ascii="Times New Roman" w:hAnsi="Times New Roman" w:eastAsia="Times New Roman"/>
          <w:i/>
          <w:sz w:val="24"/>
        </w:rPr>
        <w:t xml:space="preserve">p</w:t>
      </w:r>
      <w:r>
        <w:rPr>
          <w:rFonts w:ascii="Times New Roman" w:hAnsi="Times New Roman" w:eastAsia="Times New Roman"/>
          <w:sz w:val="24"/>
        </w:rPr>
        <w:t xml:space="preserve">(</w:t>
      </w:r>
      <w:r>
        <w:rPr>
          <w:iCs/>
          <w:rFonts w:ascii="Times New Roman" w:hAnsi="Times New Roman" w:eastAsia="Times New Roman"/>
          <w:i/>
          <w:sz w:val="24"/>
        </w:rPr>
        <w:t xml:space="preserve">n</w:t>
      </w:r>
      <w:r>
        <w:rPr>
          <w:rFonts w:ascii="Times New Roman" w:hAnsi="Times New Roman" w:eastAsia="Times New Roman"/>
          <w:sz w:val="24"/>
        </w:rPr>
        <w:t xml:space="preserve">) ∝</w:t>
      </w:r>
      <w:r>
        <w:rPr>
          <w:rFonts w:ascii="Times New Roman" w:hAnsi="Times New Roman" w:eastAsia="Times New Roman"/>
          <w:sz w:val="24"/>
        </w:rPr>
        <w:t xml:space="preserve"> </w:t>
      </w:r>
      <w:r>
        <w:rPr>
          <w:iCs/>
          <w:rFonts w:ascii="Times New Roman" w:hAnsi="Times New Roman" w:eastAsia="Times New Roman"/>
          <w:i/>
          <w:sz w:val="24"/>
        </w:rPr>
        <w:t xml:space="preserve">n</w:t>
      </w:r>
      <w:r>
        <w:rPr>
          <w:rFonts w:ascii="Times New Roman" w:hAnsi="Times New Roman" w:eastAsia="Times New Roman"/>
          <w:sz w:val="24"/>
          <w:vertAlign w:val="superscript"/>
        </w:rPr>
        <w:t xml:space="preserve">−β</w:t>
      </w:r>
      <w:r>
        <w:rPr>
          <w:rFonts w:ascii="Times New Roman" w:hAnsi="Times New Roman" w:eastAsia="Times New Roman"/>
          <w:sz w:val="24"/>
        </w:rPr>
        <w:t xml:space="preserve"> </w:t>
      </w:r>
      <w:r>
        <w:rPr>
          <w:rFonts w:ascii="Times New Roman" w:hAnsi="Times New Roman" w:eastAsia="Times New Roman"/>
          <w:sz w:val="24"/>
        </w:rPr>
        <w:t xml:space="preserve">e</w:t>
      </w:r>
      <w:r>
        <w:rPr>
          <w:rFonts w:ascii="Times New Roman" w:hAnsi="Times New Roman" w:eastAsia="Times New Roman"/>
          <w:sz w:val="24"/>
          <w:vertAlign w:val="superscript"/>
        </w:rPr>
        <w:t xml:space="preserve">−λ</w:t>
      </w:r>
      <w:r>
        <w:rPr>
          <w:iCs/>
          <w:rFonts w:ascii="Times New Roman" w:hAnsi="Times New Roman" w:eastAsia="Times New Roman"/>
          <w:i/>
          <w:sz w:val="24"/>
          <w:vertAlign w:val="superscript"/>
        </w:rPr>
        <w:t xml:space="preserve">n</w:t>
      </w:r>
      <w:r>
        <w:rPr>
          <w:rFonts w:ascii="Times New Roman" w:hAnsi="Times New Roman" w:eastAsia="Times New Roman"/>
          <w:sz w:val="24"/>
        </w:rPr>
        <w:t xml:space="preserve">, estimée par maximum de vraisemblance.</w:t>
      </w:r>
      <w:r>
        <w:rPr>
          <w:rStyle w:val="FootnoteReference"/>
          <w:rFonts w:ascii="Times New Roman" w:hAnsi="Times New Roman" w:eastAsia="Times New Roman"/>
          <w:sz w:val="24"/>
        </w:rPr>
        <w:footnoteReference w:id="35"/>
      </w:r>
      <w:r>
        <w:rPr>
          <w:rFonts w:ascii="Times New Roman" w:hAnsi="Times New Roman" w:eastAsia="Times New Roman"/>
          <w:sz w:val="24"/>
        </w:rPr>
        <w:t xml:space="preserve"> </w:t>
      </w:r>
      <w:r>
        <w:rPr>
          <w:rFonts w:ascii="Times New Roman" w:hAnsi="Times New Roman" w:eastAsia="Times New Roman"/>
          <w:sz w:val="24"/>
        </w:rPr>
        <w:t xml:space="preserve">Le paramètre λ mesure la vitesse à laquelle les grandes valeurs deviennent rares : loin du mode, chaque incrémentation de</w:t>
      </w:r>
      <w:r>
        <w:rPr>
          <w:rFonts w:ascii="Times New Roman" w:hAnsi="Times New Roman" w:eastAsia="Times New Roman"/>
          <w:sz w:val="24"/>
        </w:rPr>
        <w:t xml:space="preserve"> </w:t>
      </w:r>
      <w:r>
        <w:rPr>
          <w:iCs/>
          <w:rFonts w:ascii="Times New Roman" w:hAnsi="Times New Roman" w:eastAsia="Times New Roman"/>
          <w:i/>
          <w:sz w:val="24"/>
        </w:rPr>
        <w:t xml:space="preserve">n</w:t>
      </w:r>
      <w:r>
        <w:rPr>
          <w:rFonts w:ascii="Times New Roman" w:hAnsi="Times New Roman" w:eastAsia="Times New Roman"/>
          <w:sz w:val="24"/>
        </w:rPr>
        <w:t xml:space="preserve"> </w:t>
      </w:r>
      <w:r>
        <w:rPr>
          <w:rFonts w:ascii="Times New Roman" w:hAnsi="Times New Roman" w:eastAsia="Times New Roman"/>
          <w:sz w:val="24"/>
        </w:rPr>
        <w:t xml:space="preserve">d’une unité divise</w:t>
      </w:r>
      <w:r>
        <w:rPr>
          <w:rFonts w:ascii="Times New Roman" w:hAnsi="Times New Roman" w:eastAsia="Times New Roman"/>
          <w:sz w:val="24"/>
        </w:rPr>
        <w:t xml:space="preserve"> </w:t>
      </w:r>
      <w:r>
        <w:rPr>
          <w:iCs/>
          <w:rFonts w:ascii="Times New Roman" w:hAnsi="Times New Roman" w:eastAsia="Times New Roman"/>
          <w:i/>
          <w:sz w:val="24"/>
        </w:rPr>
        <w:t xml:space="preserve">p</w:t>
      </w:r>
      <w:r>
        <w:rPr>
          <w:rFonts w:ascii="Times New Roman" w:hAnsi="Times New Roman" w:eastAsia="Times New Roman"/>
          <w:sz w:val="24"/>
        </w:rPr>
        <w:t xml:space="preserve">(</w:t>
      </w:r>
      <w:r>
        <w:rPr>
          <w:iCs/>
          <w:rFonts w:ascii="Times New Roman" w:hAnsi="Times New Roman" w:eastAsia="Times New Roman"/>
          <w:i/>
          <w:sz w:val="24"/>
        </w:rPr>
        <w:t xml:space="preserve">n</w:t>
      </w:r>
      <w:r>
        <w:rPr>
          <w:rFonts w:ascii="Times New Roman" w:hAnsi="Times New Roman" w:eastAsia="Times New Roman"/>
          <w:sz w:val="24"/>
        </w:rPr>
        <w:t xml:space="preserve">) par e</w:t>
      </w:r>
      <w:r>
        <w:rPr>
          <w:rFonts w:ascii="Times New Roman" w:hAnsi="Times New Roman" w:eastAsia="Times New Roman"/>
          <w:sz w:val="24"/>
          <w:vertAlign w:val="superscript"/>
        </w:rPr>
        <w:t xml:space="preserve">λ</w:t>
      </w:r>
      <w:r>
        <w:rPr>
          <w:rFonts w:ascii="Times New Roman" w:hAnsi="Times New Roman" w:eastAsia="Times New Roman"/>
          <w:sz w:val="24"/>
        </w:rPr>
        <w:t xml:space="preserve"> </w:t>
      </w:r>
      <w:r>
        <w:rPr>
          <w:rFonts w:ascii="Times New Roman" w:hAnsi="Times New Roman" w:eastAsia="Times New Roman"/>
          <w:sz w:val="24"/>
        </w:rPr>
        <w:t xml:space="preserve">environ. Dans l’étude des systèmes complexes, une telle coupure signale qu’une ressource est limitée et que le système sature quand on s’en approche (Mandelbrot 1953 ; Amaral</w:t>
      </w:r>
      <w:r>
        <w:rPr>
          <w:rFonts w:ascii="Times New Roman" w:hAnsi="Times New Roman" w:eastAsia="Times New Roman"/>
          <w:sz w:val="24"/>
        </w:rPr>
        <w:t xml:space="preserve"> </w:t>
      </w:r>
      <w:r>
        <w:rPr>
          <w:iCs/>
          <w:rFonts w:ascii="Times New Roman" w:hAnsi="Times New Roman" w:eastAsia="Times New Roman"/>
          <w:i/>
          <w:sz w:val="24"/>
        </w:rPr>
        <w:t xml:space="preserve">et al.</w:t>
      </w:r>
      <w:r>
        <w:rPr>
          <w:rFonts w:ascii="Times New Roman" w:hAnsi="Times New Roman" w:eastAsia="Times New Roman"/>
          <w:sz w:val="24"/>
        </w:rPr>
        <w:t xml:space="preserve"> </w:t>
      </w:r>
      <w:r>
        <w:rPr>
          <w:rFonts w:ascii="Times New Roman" w:hAnsi="Times New Roman" w:eastAsia="Times New Roman"/>
          <w:sz w:val="24"/>
        </w:rPr>
        <w:t xml:space="preserve">2000) ; nous appellerons donc λ l’</w:t>
      </w:r>
      <w:r>
        <w:rPr>
          <w:iCs/>
          <w:rFonts w:ascii="Times New Roman" w:hAnsi="Times New Roman" w:eastAsia="Times New Roman"/>
          <w:i/>
          <w:sz w:val="24"/>
        </w:rPr>
        <w:t xml:space="preserve">indice de saturation</w:t>
      </w:r>
      <w:r>
        <w:rPr>
          <w:rFonts w:ascii="Times New Roman" w:hAnsi="Times New Roman" w:eastAsia="Times New Roman"/>
          <w:sz w:val="24"/>
        </w:rPr>
        <w:t xml:space="preserve"> </w:t>
      </w:r>
      <w:r>
        <w:rPr>
          <w:rFonts w:ascii="Times New Roman" w:hAnsi="Times New Roman" w:eastAsia="Times New Roman"/>
          <w:sz w:val="24"/>
        </w:rPr>
        <w:t xml:space="preserve">de la mesure. Pour la longueur des dépendances, β vaut 1,1 et λ 0,30 : la distribution est proche d’une loi de puissance et ne sature que lentement, ce qui laisse place à des dépendances longues (Petrini &amp; Ferrer-i-Cancho 2025). Pour la taille du flux, β est négatif (−2,6) : la distribution croît jusqu’à un mode de 2 avant de décroître, et c’est λ (1,85) qui caractérise la décroissance ; une taille de 5 est déjà vingt-cinq fois plus rare qu’une taille de 2. Pour le poids, la saturation est encore plus brutale (λ = 5,6) : un poids de 3 est vingt fois plus rare qu’un poids de 2, et un poids de 4 cent fois plus rare qu’un poids de 3. Nous interprétons cet indice de saturation, pour la taille et surtout pour le poids du flux, comme la</w:t>
      </w:r>
      <w:r>
        <w:rPr>
          <w:rFonts w:ascii="Times New Roman" w:hAnsi="Times New Roman" w:eastAsia="Times New Roman"/>
          <w:sz w:val="24"/>
        </w:rPr>
        <w:t xml:space="preserve"> </w:t>
      </w:r>
      <w:r>
        <w:rPr>
          <w:iCs/>
          <w:rFonts w:ascii="Times New Roman" w:hAnsi="Times New Roman" w:eastAsia="Times New Roman"/>
          <w:i/>
          <w:sz w:val="24"/>
        </w:rPr>
        <w:t xml:space="preserve">pression exercée par la mémoire de travail</w:t>
      </w:r>
      <w:r>
        <w:rPr>
          <w:rFonts w:ascii="Times New Roman" w:hAnsi="Times New Roman" w:eastAsia="Times New Roman"/>
          <w:sz w:val="24"/>
        </w:rPr>
        <w:t xml:space="preserve"> </w:t>
      </w:r>
      <w:r>
        <w:rPr>
          <w:rFonts w:ascii="Times New Roman" w:hAnsi="Times New Roman" w:eastAsia="Times New Roman"/>
          <w:sz w:val="24"/>
        </w:rPr>
        <w:t xml:space="preserve">sur la production : un locuteur peut accumuler les dépendances en attente, mais chaque dépendance supplémentaire se paie à un taux exponentiel.</w:t>
      </w:r>
    </w:p>
    <w:p>
      <w:pPr>
        <w:pStyle w:val="CaptionedFigure"/>
        <w:jc w:val="center"/>
      </w:pPr>
      <w:r>
        <w:drawing>
          <wp:inline>
            <wp:extent cx="4319999" cy="2658461"/>
            <wp:effectExtent b="0" l="0" r="0" t="0"/>
            <wp:docPr descr="Figure 4 : Distribution de la longueur des dépendances, de la taille du flux et du poids du flux dans Rhapsodie (SUD, unités de 10 à 19 mots), avec leur approximation par une loi de puissance tronquée et les paramètres ajustés. Échelles logarithmiques." title="" id="37" name="Picture"/>
            <a:graphic>
              <a:graphicData uri="http://schemas.openxmlformats.org/drawingml/2006/picture">
                <pic:pic>
                  <pic:nvPicPr>
                    <pic:cNvPr descr="fig/fig_rhap_dist.png" id="38" name="Picture"/>
                    <pic:cNvPicPr>
                      <a:picLocks noChangeArrowheads="1" noChangeAspect="1"/>
                    </pic:cNvPicPr>
                  </pic:nvPicPr>
                  <pic:blipFill>
                    <a:blip r:embed="rId36"/>
                    <a:stretch>
                      <a:fillRect/>
                    </a:stretch>
                  </pic:blipFill>
                  <pic:spPr bwMode="auto">
                    <a:xfrm>
                      <a:off x="0" y="0"/>
                      <a:ext cx="4319999" cy="2658461"/>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2"/>
        </w:rPr>
        <w:t xml:space="preserve">Figure 4 : Distribution de la longueur des dépendances, de la taille du flux et du poids du flux dans Rhapsodie (SUD, unités de 10 à 19 mots), avec leur approximation par une loi de puissance tronquée et les paramètres ajustés. Échelles logarithmiques.</w:t>
      </w:r>
    </w:p>
    <w:bookmarkEnd w:id="39"/>
    <w:bookmarkEnd w:id="40"/>
    <w:bookmarkStart w:id="49" w:name="données-et-méthode"/>
    <w:p>
      <w:pPr>
        <w:pStyle w:val="Heading1"/>
      </w:pPr>
      <w:r>
        <w:rPr>
          <w:rFonts w:ascii="Times New Roman" w:hAnsi="Times New Roman" w:eastAsia="Times New Roman"/>
          <w:b/>
          <w:sz w:val="24"/>
        </w:rPr>
        <w:t xml:space="preserve">3. Données et méthode</w:t>
      </w:r>
    </w:p>
    <w:bookmarkStart w:id="41" w:name="corpus-et-prétraitement"/>
    <w:p>
      <w:pPr>
        <w:pStyle w:val="Heading1"/>
      </w:pPr>
      <w:r>
        <w:rPr>
          <w:rFonts w:ascii="Times New Roman" w:hAnsi="Times New Roman" w:eastAsia="Times New Roman"/>
          <w:b/>
          <w:sz w:val="24"/>
        </w:rPr>
        <w:t xml:space="preserve">3.1. Corpus et prétraitement</w:t>
      </w:r>
    </w:p>
    <w:p>
      <w:pPr>
        <w:pStyle w:val="BodyText"/>
        <w:jc w:val="both"/>
      </w:pPr>
      <w:r>
        <w:rPr>
          <w:rFonts w:ascii="Times New Roman" w:hAnsi="Times New Roman" w:eastAsia="Times New Roman"/>
          <w:sz w:val="24"/>
        </w:rPr>
        <w:t xml:space="preserve">Nous utilisons quatre corpus arborés en</w:t>
      </w:r>
      <w:r>
        <w:rPr>
          <w:rFonts w:ascii="Times New Roman" w:hAnsi="Times New Roman" w:eastAsia="Times New Roman"/>
          <w:sz w:val="24"/>
        </w:rPr>
        <w:t xml:space="preserve"> </w:t>
      </w:r>
      <w:r>
        <w:rPr>
          <w:iCs/>
          <w:rFonts w:ascii="Times New Roman" w:hAnsi="Times New Roman" w:eastAsia="Times New Roman"/>
          <w:i/>
          <w:sz w:val="24"/>
        </w:rPr>
        <w:t xml:space="preserve">Surface-Syntactic Universal Dependencies</w:t>
      </w:r>
      <w:r>
        <w:rPr>
          <w:rFonts w:ascii="Times New Roman" w:hAnsi="Times New Roman" w:eastAsia="Times New Roman"/>
          <w:sz w:val="24"/>
        </w:rPr>
        <w:t xml:space="preserve"> </w:t>
      </w:r>
      <w:r>
        <w:rPr>
          <w:rFonts w:ascii="Times New Roman" w:hAnsi="Times New Roman" w:eastAsia="Times New Roman"/>
          <w:sz w:val="24"/>
        </w:rPr>
        <w:t xml:space="preserve">(SUD ; Gerdes</w:t>
      </w:r>
      <w:r>
        <w:rPr>
          <w:rFonts w:ascii="Times New Roman" w:hAnsi="Times New Roman" w:eastAsia="Times New Roman"/>
          <w:sz w:val="24"/>
        </w:rPr>
        <w:t xml:space="preserve"> </w:t>
      </w:r>
      <w:r>
        <w:rPr>
          <w:iCs/>
          <w:rFonts w:ascii="Times New Roman" w:hAnsi="Times New Roman" w:eastAsia="Times New Roman"/>
          <w:i/>
          <w:sz w:val="24"/>
        </w:rPr>
        <w:t xml:space="preserve">et al.</w:t>
      </w:r>
      <w:r>
        <w:rPr>
          <w:rFonts w:ascii="Times New Roman" w:hAnsi="Times New Roman" w:eastAsia="Times New Roman"/>
          <w:sz w:val="24"/>
        </w:rPr>
        <w:t xml:space="preserve"> </w:t>
      </w:r>
      <w:r>
        <w:rPr>
          <w:rFonts w:ascii="Times New Roman" w:hAnsi="Times New Roman" w:eastAsia="Times New Roman"/>
          <w:sz w:val="24"/>
        </w:rPr>
        <w:t xml:space="preserve">2018), dans leur dernière version (v2.19, novembre 2026), et le corpus CEFC-gold du projet Orféo (Benzitoun, Debaisieux &amp; Deulofeu 2016 ; Kahane &amp; Gerdes 2020), annoté dans un schéma très proche de SUD. GSD (Guillaume, de Marneffe &amp; Perrier 2019) est une collecte de textes du web faite par Google, dont les genres ne sont pas documentés ; Sequoia (Candito &amp; Seddah 2012) réunit des articles de</w:t>
      </w:r>
      <w:r>
        <w:rPr>
          <w:rFonts w:ascii="Times New Roman" w:hAnsi="Times New Roman" w:eastAsia="Times New Roman"/>
          <w:sz w:val="24"/>
        </w:rPr>
        <w:t xml:space="preserve"> </w:t>
      </w:r>
      <w:r>
        <w:rPr>
          <w:iCs/>
          <w:rFonts w:ascii="Times New Roman" w:hAnsi="Times New Roman" w:eastAsia="Times New Roman"/>
          <w:i/>
          <w:sz w:val="24"/>
        </w:rPr>
        <w:t xml:space="preserve">L’Est républicain</w:t>
      </w:r>
      <w:r>
        <w:rPr>
          <w:rFonts w:ascii="Times New Roman" w:hAnsi="Times New Roman" w:eastAsia="Times New Roman"/>
          <w:sz w:val="24"/>
        </w:rPr>
        <w:t xml:space="preserve">, des notices médicales, des débats du Parlement européen et des articles de Wikipédia. ParisStories est un corpus de récits personnels sollicités ; Rhapsodie (Lacheret</w:t>
      </w:r>
      <w:r>
        <w:rPr>
          <w:rFonts w:ascii="Times New Roman" w:hAnsi="Times New Roman" w:eastAsia="Times New Roman"/>
          <w:sz w:val="24"/>
        </w:rPr>
        <w:t xml:space="preserve"> </w:t>
      </w:r>
      <w:r>
        <w:rPr>
          <w:iCs/>
          <w:rFonts w:ascii="Times New Roman" w:hAnsi="Times New Roman" w:eastAsia="Times New Roman"/>
          <w:i/>
          <w:sz w:val="24"/>
        </w:rPr>
        <w:t xml:space="preserve">et al.</w:t>
      </w:r>
      <w:r>
        <w:rPr>
          <w:rFonts w:ascii="Times New Roman" w:hAnsi="Times New Roman" w:eastAsia="Times New Roman"/>
          <w:sz w:val="24"/>
        </w:rPr>
        <w:t xml:space="preserve"> </w:t>
      </w:r>
      <w:r>
        <w:rPr>
          <w:rFonts w:ascii="Times New Roman" w:hAnsi="Times New Roman" w:eastAsia="Times New Roman"/>
          <w:sz w:val="24"/>
        </w:rPr>
        <w:t xml:space="preserve">2014) couvre des genres variés (entretiens, descriptions, discussions, discours) ; CEFC-gold réunit des conversations, des entretiens et des interactions de service issus des corpus TCOF, CLAPI, Valibel et C-ORAL-ROM. L’annotation de ParisStories et de Rhapsodie a été révisée pour cette étude, en particulier pour les constructions non projectives et les reprises. La ponctuation est retirée, et nous ne gardons que les unités d’au moins trois mots : pour deux mots, le flux est toujours de taille 1.</w:t>
      </w:r>
    </w:p>
    <w:p>
      <w:pPr>
        <w:pStyle w:val="BodyText"/>
        <w:jc w:val="both"/>
      </w:pPr>
      <w:r>
        <w:rPr>
          <w:rFonts w:ascii="Times New Roman" w:hAnsi="Times New Roman" w:eastAsia="Times New Roman"/>
          <w:sz w:val="24"/>
        </w:rPr>
        <w:t xml:space="preserve">Les unités de l’oral ne sont pas des phrases graphiques, mais des</w:t>
      </w:r>
      <w:r>
        <w:rPr>
          <w:rFonts w:ascii="Times New Roman" w:hAnsi="Times New Roman" w:eastAsia="Times New Roman"/>
          <w:sz w:val="24"/>
        </w:rPr>
        <w:t xml:space="preserve"> </w:t>
      </w:r>
      <w:r>
        <w:rPr>
          <w:iCs/>
          <w:rFonts w:ascii="Times New Roman" w:hAnsi="Times New Roman" w:eastAsia="Times New Roman"/>
          <w:i/>
          <w:sz w:val="24"/>
        </w:rPr>
        <w:t xml:space="preserve">unités illocutoires</w:t>
      </w:r>
      <w:r>
        <w:rPr>
          <w:rFonts w:ascii="Times New Roman" w:hAnsi="Times New Roman" w:eastAsia="Times New Roman"/>
          <w:sz w:val="24"/>
        </w:rPr>
        <w:t xml:space="preserve"> </w:t>
      </w:r>
      <w:r>
        <w:rPr>
          <w:rFonts w:ascii="Times New Roman" w:hAnsi="Times New Roman" w:eastAsia="Times New Roman"/>
          <w:sz w:val="24"/>
        </w:rPr>
        <w:t xml:space="preserve">(Benzitoun</w:t>
      </w:r>
      <w:r>
        <w:rPr>
          <w:rFonts w:ascii="Times New Roman" w:hAnsi="Times New Roman" w:eastAsia="Times New Roman"/>
          <w:sz w:val="24"/>
        </w:rPr>
        <w:t xml:space="preserve"> </w:t>
      </w:r>
      <w:r>
        <w:rPr>
          <w:iCs/>
          <w:rFonts w:ascii="Times New Roman" w:hAnsi="Times New Roman" w:eastAsia="Times New Roman"/>
          <w:i/>
          <w:sz w:val="24"/>
        </w:rPr>
        <w:t xml:space="preserve">et al.</w:t>
      </w:r>
      <w:r>
        <w:rPr>
          <w:rFonts w:ascii="Times New Roman" w:hAnsi="Times New Roman" w:eastAsia="Times New Roman"/>
          <w:sz w:val="24"/>
        </w:rPr>
        <w:t xml:space="preserve"> </w:t>
      </w:r>
      <w:r>
        <w:rPr>
          <w:rFonts w:ascii="Times New Roman" w:hAnsi="Times New Roman" w:eastAsia="Times New Roman"/>
          <w:sz w:val="24"/>
        </w:rPr>
        <w:t xml:space="preserve">2010 ; Pietrandrea</w:t>
      </w:r>
      <w:r>
        <w:rPr>
          <w:rFonts w:ascii="Times New Roman" w:hAnsi="Times New Roman" w:eastAsia="Times New Roman"/>
          <w:sz w:val="24"/>
        </w:rPr>
        <w:t xml:space="preserve"> </w:t>
      </w:r>
      <w:r>
        <w:rPr>
          <w:iCs/>
          <w:rFonts w:ascii="Times New Roman" w:hAnsi="Times New Roman" w:eastAsia="Times New Roman"/>
          <w:i/>
          <w:sz w:val="24"/>
        </w:rPr>
        <w:t xml:space="preserve">et al.</w:t>
      </w:r>
      <w:r>
        <w:rPr>
          <w:rFonts w:ascii="Times New Roman" w:hAnsi="Times New Roman" w:eastAsia="Times New Roman"/>
          <w:sz w:val="24"/>
        </w:rPr>
        <w:t xml:space="preserve"> </w:t>
      </w:r>
      <w:r>
        <w:rPr>
          <w:rFonts w:ascii="Times New Roman" w:hAnsi="Times New Roman" w:eastAsia="Times New Roman"/>
          <w:sz w:val="24"/>
        </w:rPr>
        <w:t xml:space="preserve">2014). La principale différence est que deux propositions principales coordonnées forment deux unités illocutoires à l’oral, alors qu’elles forment une seule phrase à l’écrit si elles ne sont pas séparées par un point. Nous segmentons donc l’écrit comme l’oral, en coupant les coordinations et parataxes de propositions dépendant de la racine, sauf quand le sujet est partagé, et seulement quand les deux parties restent continues. Ce découpage fait passer GSD de 16 328 phrases de 21,2 mots en moyenne à 18 456 unités de 18,7 mots, et Sequoia de 2 857 phrases de 21,1 mots à 3 185 unités de 18,9 mots (tableau 1). Comme toutes les mesures croissent avec la longueur de l’unité (Ferrer-i-Cancho &amp; Liu 2014 ; Jiang &amp; Liu 2015), nous comparons les corpus à longueur égale : principalement les unités de 10 à 19 mots, et aussi de 10 à 29 mots.</w:t>
      </w:r>
    </w:p>
    <w:p>
      <w:pPr>
        <w:pStyle w:val="TableCaption"/>
        <w:jc w:val="center"/>
      </w:pPr>
      <w:r>
        <w:rPr>
          <w:rFonts w:ascii="Times New Roman" w:hAnsi="Times New Roman" w:eastAsia="Times New Roman"/>
          <w:sz w:val="22"/>
        </w:rPr>
        <w:t xml:space="preserve">Tableau 1 : Les corpus (unités d’au moins trois mots, ponctuation retirée ; GSD et Sequoia après segmentation). Macrosyntaxe (y compris les mod:periph, section 3.2) et reparandum : part des dépendances ; dernière colonne : part des unités dont le premier mot est une conjonction de coordination.</w:t>
      </w:r>
    </w:p>
    <w:tbl>
      <w:tblPr>
        <w:tblStyle w:val="Table"/>
        <w:tblW w:type="pct" w:w="5000"/>
        <w:tblLook w:firstRow="1" w:lastRow="0" w:firstColumn="0" w:lastColumn="0" w:noHBand="0" w:noVBand="0" w:val="0020"/>
        <w:jc w:val="start"/>
        <w:tblCaption w:val="Tableau 1 : Les corpus (unités d’au moins trois mots, ponctuation retirée ; GSD et Sequoia après segmentation). Macrosyntaxe (y compris les mod:periph, section 3.2) et reparandum : part des dépendances ; dernière colonne : part des unités dont le premier mot est une conjonction de coordination."/>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tblHeader w:val="true"/>
        </w:trPr>
        <w:tc>
          <w:tcPr/>
          <w:p>
            <w:pPr>
              <w:pStyle w:val="Compact"/>
              <w:jc w:val="left"/>
            </w:pPr>
            <w:r>
              <w:rPr>
                <w:rFonts w:ascii="Times New Roman" w:hAnsi="Times New Roman" w:eastAsia="Times New Roman"/>
                <w:sz w:val="20"/>
              </w:rPr>
              <w:t xml:space="preserve">Corpus</w:t>
            </w:r>
          </w:p>
        </w:tc>
        <w:tc>
          <w:tcPr/>
          <w:p>
            <w:pPr>
              <w:pStyle w:val="Compact"/>
              <w:jc w:val="left"/>
            </w:pPr>
            <w:r>
              <w:rPr>
                <w:rFonts w:ascii="Times New Roman" w:hAnsi="Times New Roman" w:eastAsia="Times New Roman"/>
                <w:sz w:val="20"/>
              </w:rPr>
              <w:t xml:space="preserve">Modalité</w:t>
            </w:r>
          </w:p>
        </w:tc>
        <w:tc>
          <w:tcPr/>
          <w:p>
            <w:pPr>
              <w:pStyle w:val="Compact"/>
              <w:jc w:val="right"/>
            </w:pPr>
            <w:r>
              <w:rPr>
                <w:rFonts w:ascii="Times New Roman" w:hAnsi="Times New Roman" w:eastAsia="Times New Roman"/>
                <w:sz w:val="20"/>
              </w:rPr>
              <w:t xml:space="preserve">Unités</w:t>
            </w:r>
          </w:p>
        </w:tc>
        <w:tc>
          <w:tcPr/>
          <w:p>
            <w:pPr>
              <w:pStyle w:val="Compact"/>
              <w:jc w:val="right"/>
            </w:pPr>
            <w:r>
              <w:rPr>
                <w:rFonts w:ascii="Times New Roman" w:hAnsi="Times New Roman" w:eastAsia="Times New Roman"/>
                <w:sz w:val="20"/>
              </w:rPr>
              <w:t xml:space="preserve">Mots</w:t>
            </w:r>
          </w:p>
        </w:tc>
        <w:tc>
          <w:tcPr/>
          <w:p>
            <w:pPr>
              <w:pStyle w:val="Compact"/>
              <w:jc w:val="right"/>
            </w:pPr>
            <w:r>
              <w:rPr>
                <w:rFonts w:ascii="Times New Roman" w:hAnsi="Times New Roman" w:eastAsia="Times New Roman"/>
                <w:sz w:val="20"/>
              </w:rPr>
              <w:t xml:space="preserve">Longueur moyenne</w:t>
            </w:r>
          </w:p>
        </w:tc>
        <w:tc>
          <w:tcPr/>
          <w:p>
            <w:pPr>
              <w:pStyle w:val="Compact"/>
              <w:jc w:val="right"/>
            </w:pPr>
            <w:r>
              <w:rPr>
                <w:rFonts w:ascii="Times New Roman" w:hAnsi="Times New Roman" w:eastAsia="Times New Roman"/>
                <w:sz w:val="20"/>
              </w:rPr>
              <w:t xml:space="preserve">Macrosyntaxe</w:t>
            </w:r>
          </w:p>
        </w:tc>
        <w:tc>
          <w:tcPr/>
          <w:p>
            <w:pPr>
              <w:pStyle w:val="Compact"/>
              <w:jc w:val="right"/>
            </w:pPr>
            <w:r>
              <w:rPr>
                <w:rFonts w:ascii="Times New Roman" w:hAnsi="Times New Roman" w:eastAsia="Times New Roman"/>
                <w:sz w:val="20"/>
              </w:rPr>
              <w:t xml:space="preserve">dont mod:periph</w:t>
            </w:r>
          </w:p>
        </w:tc>
        <w:tc>
          <w:tcPr/>
          <w:p>
            <w:pPr>
              <w:pStyle w:val="Compact"/>
              <w:jc w:val="right"/>
            </w:pPr>
            <w:r>
              <w:rPr>
                <w:rFonts w:ascii="Times New Roman" w:hAnsi="Times New Roman" w:eastAsia="Times New Roman"/>
                <w:sz w:val="20"/>
              </w:rPr>
              <w:t xml:space="preserve">Reparandum</w:t>
            </w:r>
          </w:p>
        </w:tc>
        <w:tc>
          <w:tcPr/>
          <w:p>
            <w:pPr>
              <w:pStyle w:val="Compact"/>
              <w:jc w:val="right"/>
            </w:pPr>
            <w:r>
              <w:rPr>
                <w:rFonts w:ascii="Times New Roman" w:hAnsi="Times New Roman" w:eastAsia="Times New Roman"/>
                <w:sz w:val="20"/>
              </w:rPr>
              <w:t xml:space="preserve">Unités commençant par une conjonction</w:t>
            </w:r>
          </w:p>
        </w:tc>
      </w:tr>
      <w:tr>
        <w:tc>
          <w:tcPr/>
          <w:p>
            <w:pPr>
              <w:pStyle w:val="Compact"/>
              <w:jc w:val="left"/>
            </w:pPr>
            <w:r>
              <w:rPr>
                <w:rFonts w:ascii="Times New Roman" w:hAnsi="Times New Roman" w:eastAsia="Times New Roman"/>
                <w:sz w:val="20"/>
              </w:rPr>
              <w:t xml:space="preserve">GSD</w:t>
            </w:r>
          </w:p>
        </w:tc>
        <w:tc>
          <w:tcPr/>
          <w:p>
            <w:pPr>
              <w:pStyle w:val="Compact"/>
              <w:jc w:val="left"/>
            </w:pPr>
            <w:r>
              <w:rPr>
                <w:rFonts w:ascii="Times New Roman" w:hAnsi="Times New Roman" w:eastAsia="Times New Roman"/>
                <w:sz w:val="20"/>
              </w:rPr>
              <w:t xml:space="preserve">écrit</w:t>
            </w:r>
          </w:p>
        </w:tc>
        <w:tc>
          <w:tcPr/>
          <w:p>
            <w:pPr>
              <w:pStyle w:val="Compact"/>
              <w:jc w:val="right"/>
            </w:pPr>
            <w:r>
              <w:rPr>
                <w:rFonts w:ascii="Times New Roman" w:hAnsi="Times New Roman" w:eastAsia="Times New Roman"/>
                <w:sz w:val="20"/>
              </w:rPr>
              <w:t xml:space="preserve">18 456</w:t>
            </w:r>
          </w:p>
        </w:tc>
        <w:tc>
          <w:tcPr/>
          <w:p>
            <w:pPr>
              <w:pStyle w:val="Compact"/>
              <w:jc w:val="right"/>
            </w:pPr>
            <w:r>
              <w:rPr>
                <w:rFonts w:ascii="Times New Roman" w:hAnsi="Times New Roman" w:eastAsia="Times New Roman"/>
                <w:sz w:val="20"/>
              </w:rPr>
              <w:t xml:space="preserve">344 730</w:t>
            </w:r>
          </w:p>
        </w:tc>
        <w:tc>
          <w:tcPr/>
          <w:p>
            <w:pPr>
              <w:pStyle w:val="Compact"/>
              <w:jc w:val="right"/>
            </w:pPr>
            <w:r>
              <w:rPr>
                <w:rFonts w:ascii="Times New Roman" w:hAnsi="Times New Roman" w:eastAsia="Times New Roman"/>
                <w:sz w:val="20"/>
              </w:rPr>
              <w:t xml:space="preserve">18,7</w:t>
            </w:r>
          </w:p>
        </w:tc>
        <w:tc>
          <w:tcPr/>
          <w:p>
            <w:pPr>
              <w:pStyle w:val="Compact"/>
              <w:jc w:val="right"/>
            </w:pPr>
            <w:r>
              <w:rPr>
                <w:rFonts w:ascii="Times New Roman" w:hAnsi="Times New Roman" w:eastAsia="Times New Roman"/>
                <w:sz w:val="20"/>
              </w:rPr>
              <w:t xml:space="preserve">1,7 %</w:t>
            </w:r>
          </w:p>
        </w:tc>
        <w:tc>
          <w:tcPr/>
          <w:p>
            <w:pPr>
              <w:pStyle w:val="Compact"/>
              <w:jc w:val="right"/>
            </w:pPr>
            <w:r>
              <w:rPr>
                <w:rFonts w:ascii="Times New Roman" w:hAnsi="Times New Roman" w:eastAsia="Times New Roman"/>
                <w:sz w:val="20"/>
              </w:rPr>
              <w:t xml:space="preserve">1,6 %</w:t>
            </w:r>
          </w:p>
        </w:tc>
        <w:tc>
          <w:tcPr/>
          <w:p>
            <w:pPr>
              <w:pStyle w:val="Compact"/>
              <w:jc w:val="right"/>
            </w:pPr>
            <w:r>
              <w:rPr>
                <w:rFonts w:ascii="Times New Roman" w:hAnsi="Times New Roman" w:eastAsia="Times New Roman"/>
                <w:sz w:val="20"/>
              </w:rPr>
              <w:t xml:space="preserve">0 %</w:t>
            </w:r>
          </w:p>
        </w:tc>
        <w:tc>
          <w:tcPr/>
          <w:p>
            <w:pPr>
              <w:pStyle w:val="Compact"/>
              <w:jc w:val="right"/>
            </w:pPr>
            <w:r>
              <w:rPr>
                <w:rFonts w:ascii="Times New Roman" w:hAnsi="Times New Roman" w:eastAsia="Times New Roman"/>
                <w:sz w:val="20"/>
              </w:rPr>
              <w:t xml:space="preserve">7,4 %</w:t>
            </w:r>
          </w:p>
        </w:tc>
      </w:tr>
      <w:tr>
        <w:tc>
          <w:tcPr/>
          <w:p>
            <w:pPr>
              <w:pStyle w:val="Compact"/>
              <w:jc w:val="left"/>
            </w:pPr>
            <w:r>
              <w:rPr>
                <w:rFonts w:ascii="Times New Roman" w:hAnsi="Times New Roman" w:eastAsia="Times New Roman"/>
                <w:sz w:val="20"/>
              </w:rPr>
              <w:t xml:space="preserve">Sequoia</w:t>
            </w:r>
          </w:p>
        </w:tc>
        <w:tc>
          <w:tcPr/>
          <w:p>
            <w:pPr>
              <w:pStyle w:val="Compact"/>
              <w:jc w:val="left"/>
            </w:pPr>
            <w:r>
              <w:rPr>
                <w:rFonts w:ascii="Times New Roman" w:hAnsi="Times New Roman" w:eastAsia="Times New Roman"/>
                <w:sz w:val="20"/>
              </w:rPr>
              <w:t xml:space="preserve">écrit</w:t>
            </w:r>
          </w:p>
        </w:tc>
        <w:tc>
          <w:tcPr/>
          <w:p>
            <w:pPr>
              <w:pStyle w:val="Compact"/>
              <w:jc w:val="right"/>
            </w:pPr>
            <w:r>
              <w:rPr>
                <w:rFonts w:ascii="Times New Roman" w:hAnsi="Times New Roman" w:eastAsia="Times New Roman"/>
                <w:sz w:val="20"/>
              </w:rPr>
              <w:t xml:space="preserve">3 185</w:t>
            </w:r>
          </w:p>
        </w:tc>
        <w:tc>
          <w:tcPr/>
          <w:p>
            <w:pPr>
              <w:pStyle w:val="Compact"/>
              <w:jc w:val="right"/>
            </w:pPr>
            <w:r>
              <w:rPr>
                <w:rFonts w:ascii="Times New Roman" w:hAnsi="Times New Roman" w:eastAsia="Times New Roman"/>
                <w:sz w:val="20"/>
              </w:rPr>
              <w:t xml:space="preserve">60 084</w:t>
            </w:r>
          </w:p>
        </w:tc>
        <w:tc>
          <w:tcPr/>
          <w:p>
            <w:pPr>
              <w:pStyle w:val="Compact"/>
              <w:jc w:val="right"/>
            </w:pPr>
            <w:r>
              <w:rPr>
                <w:rFonts w:ascii="Times New Roman" w:hAnsi="Times New Roman" w:eastAsia="Times New Roman"/>
                <w:sz w:val="20"/>
              </w:rPr>
              <w:t xml:space="preserve">18,9</w:t>
            </w:r>
          </w:p>
        </w:tc>
        <w:tc>
          <w:tcPr/>
          <w:p>
            <w:pPr>
              <w:pStyle w:val="Compact"/>
              <w:jc w:val="right"/>
            </w:pPr>
            <w:r>
              <w:rPr>
                <w:rFonts w:ascii="Times New Roman" w:hAnsi="Times New Roman" w:eastAsia="Times New Roman"/>
                <w:sz w:val="20"/>
              </w:rPr>
              <w:t xml:space="preserve">1,9 %</w:t>
            </w:r>
          </w:p>
        </w:tc>
        <w:tc>
          <w:tcPr/>
          <w:p>
            <w:pPr>
              <w:pStyle w:val="Compact"/>
              <w:jc w:val="right"/>
            </w:pPr>
            <w:r>
              <w:rPr>
                <w:rFonts w:ascii="Times New Roman" w:hAnsi="Times New Roman" w:eastAsia="Times New Roman"/>
                <w:sz w:val="20"/>
              </w:rPr>
              <w:t xml:space="preserve">1,5 %</w:t>
            </w:r>
          </w:p>
        </w:tc>
        <w:tc>
          <w:tcPr/>
          <w:p>
            <w:pPr>
              <w:pStyle w:val="Compact"/>
              <w:jc w:val="right"/>
            </w:pPr>
            <w:r>
              <w:rPr>
                <w:rFonts w:ascii="Times New Roman" w:hAnsi="Times New Roman" w:eastAsia="Times New Roman"/>
                <w:sz w:val="20"/>
              </w:rPr>
              <w:t xml:space="preserve">0 %</w:t>
            </w:r>
          </w:p>
        </w:tc>
        <w:tc>
          <w:tcPr/>
          <w:p>
            <w:pPr>
              <w:pStyle w:val="Compact"/>
              <w:jc w:val="right"/>
            </w:pPr>
            <w:r>
              <w:rPr>
                <w:rFonts w:ascii="Times New Roman" w:hAnsi="Times New Roman" w:eastAsia="Times New Roman"/>
                <w:sz w:val="20"/>
              </w:rPr>
              <w:t xml:space="preserve">9,6 %</w:t>
            </w:r>
          </w:p>
        </w:tc>
      </w:tr>
      <w:tr>
        <w:tc>
          <w:tcPr/>
          <w:p>
            <w:pPr>
              <w:pStyle w:val="Compact"/>
              <w:jc w:val="left"/>
            </w:pPr>
            <w:r>
              <w:rPr>
                <w:rFonts w:ascii="Times New Roman" w:hAnsi="Times New Roman" w:eastAsia="Times New Roman"/>
                <w:sz w:val="20"/>
              </w:rPr>
              <w:t xml:space="preserve">ParisStories</w:t>
            </w:r>
          </w:p>
        </w:tc>
        <w:tc>
          <w:tcPr/>
          <w:p>
            <w:pPr>
              <w:pStyle w:val="Compact"/>
              <w:jc w:val="left"/>
            </w:pPr>
            <w:r>
              <w:rPr>
                <w:rFonts w:ascii="Times New Roman" w:hAnsi="Times New Roman" w:eastAsia="Times New Roman"/>
                <w:sz w:val="20"/>
              </w:rPr>
              <w:t xml:space="preserve">oral</w:t>
            </w:r>
          </w:p>
        </w:tc>
        <w:tc>
          <w:tcPr/>
          <w:p>
            <w:pPr>
              <w:pStyle w:val="Compact"/>
              <w:jc w:val="right"/>
            </w:pPr>
            <w:r>
              <w:rPr>
                <w:rFonts w:ascii="Times New Roman" w:hAnsi="Times New Roman" w:eastAsia="Times New Roman"/>
                <w:sz w:val="20"/>
              </w:rPr>
              <w:t xml:space="preserve">2 594</w:t>
            </w:r>
          </w:p>
        </w:tc>
        <w:tc>
          <w:tcPr/>
          <w:p>
            <w:pPr>
              <w:pStyle w:val="Compact"/>
              <w:jc w:val="right"/>
            </w:pPr>
            <w:r>
              <w:rPr>
                <w:rFonts w:ascii="Times New Roman" w:hAnsi="Times New Roman" w:eastAsia="Times New Roman"/>
                <w:sz w:val="20"/>
              </w:rPr>
              <w:t xml:space="preserve">33 793</w:t>
            </w:r>
          </w:p>
        </w:tc>
        <w:tc>
          <w:tcPr/>
          <w:p>
            <w:pPr>
              <w:pStyle w:val="Compact"/>
              <w:jc w:val="right"/>
            </w:pPr>
            <w:r>
              <w:rPr>
                <w:rFonts w:ascii="Times New Roman" w:hAnsi="Times New Roman" w:eastAsia="Times New Roman"/>
                <w:sz w:val="20"/>
              </w:rPr>
              <w:t xml:space="preserve">13,0</w:t>
            </w:r>
          </w:p>
        </w:tc>
        <w:tc>
          <w:tcPr/>
          <w:p>
            <w:pPr>
              <w:pStyle w:val="Compact"/>
              <w:jc w:val="right"/>
            </w:pPr>
            <w:r>
              <w:rPr>
                <w:rFonts w:ascii="Times New Roman" w:hAnsi="Times New Roman" w:eastAsia="Times New Roman"/>
                <w:sz w:val="20"/>
              </w:rPr>
              <w:t xml:space="preserve">14,0 %</w:t>
            </w:r>
          </w:p>
        </w:tc>
        <w:tc>
          <w:tcPr/>
          <w:p>
            <w:pPr>
              <w:pStyle w:val="Compact"/>
              <w:jc w:val="right"/>
            </w:pPr>
            <w:r>
              <w:rPr>
                <w:rFonts w:ascii="Times New Roman" w:hAnsi="Times New Roman" w:eastAsia="Times New Roman"/>
                <w:sz w:val="20"/>
              </w:rPr>
              <w:t xml:space="preserve">3,1 %</w:t>
            </w:r>
          </w:p>
        </w:tc>
        <w:tc>
          <w:tcPr/>
          <w:p>
            <w:pPr>
              <w:pStyle w:val="Compact"/>
              <w:jc w:val="right"/>
            </w:pPr>
            <w:r>
              <w:rPr>
                <w:rFonts w:ascii="Times New Roman" w:hAnsi="Times New Roman" w:eastAsia="Times New Roman"/>
                <w:sz w:val="20"/>
              </w:rPr>
              <w:t xml:space="preserve">2,3 %</w:t>
            </w:r>
          </w:p>
        </w:tc>
        <w:tc>
          <w:tcPr/>
          <w:p>
            <w:pPr>
              <w:pStyle w:val="Compact"/>
              <w:jc w:val="right"/>
            </w:pPr>
            <w:r>
              <w:rPr>
                <w:rFonts w:ascii="Times New Roman" w:hAnsi="Times New Roman" w:eastAsia="Times New Roman"/>
                <w:sz w:val="20"/>
              </w:rPr>
              <w:t xml:space="preserve">34,5 %</w:t>
            </w:r>
          </w:p>
        </w:tc>
      </w:tr>
      <w:tr>
        <w:tc>
          <w:tcPr/>
          <w:p>
            <w:pPr>
              <w:pStyle w:val="Compact"/>
              <w:jc w:val="left"/>
            </w:pPr>
            <w:r>
              <w:rPr>
                <w:rFonts w:ascii="Times New Roman" w:hAnsi="Times New Roman" w:eastAsia="Times New Roman"/>
                <w:sz w:val="20"/>
              </w:rPr>
              <w:t xml:space="preserve">Rhapsodie</w:t>
            </w:r>
          </w:p>
        </w:tc>
        <w:tc>
          <w:tcPr/>
          <w:p>
            <w:pPr>
              <w:pStyle w:val="Compact"/>
              <w:jc w:val="left"/>
            </w:pPr>
            <w:r>
              <w:rPr>
                <w:rFonts w:ascii="Times New Roman" w:hAnsi="Times New Roman" w:eastAsia="Times New Roman"/>
                <w:sz w:val="20"/>
              </w:rPr>
              <w:t xml:space="preserve">oral</w:t>
            </w:r>
          </w:p>
        </w:tc>
        <w:tc>
          <w:tcPr/>
          <w:p>
            <w:pPr>
              <w:pStyle w:val="Compact"/>
              <w:jc w:val="right"/>
            </w:pPr>
            <w:r>
              <w:rPr>
                <w:rFonts w:ascii="Times New Roman" w:hAnsi="Times New Roman" w:eastAsia="Times New Roman"/>
                <w:sz w:val="20"/>
              </w:rPr>
              <w:t xml:space="preserve">2 699</w:t>
            </w:r>
          </w:p>
        </w:tc>
        <w:tc>
          <w:tcPr/>
          <w:p>
            <w:pPr>
              <w:pStyle w:val="Compact"/>
              <w:jc w:val="right"/>
            </w:pPr>
            <w:r>
              <w:rPr>
                <w:rFonts w:ascii="Times New Roman" w:hAnsi="Times New Roman" w:eastAsia="Times New Roman"/>
                <w:sz w:val="20"/>
              </w:rPr>
              <w:t xml:space="preserve">34 099</w:t>
            </w:r>
          </w:p>
        </w:tc>
        <w:tc>
          <w:tcPr/>
          <w:p>
            <w:pPr>
              <w:pStyle w:val="Compact"/>
              <w:jc w:val="right"/>
            </w:pPr>
            <w:r>
              <w:rPr>
                <w:rFonts w:ascii="Times New Roman" w:hAnsi="Times New Roman" w:eastAsia="Times New Roman"/>
                <w:sz w:val="20"/>
              </w:rPr>
              <w:t xml:space="preserve">12,6</w:t>
            </w:r>
          </w:p>
        </w:tc>
        <w:tc>
          <w:tcPr/>
          <w:p>
            <w:pPr>
              <w:pStyle w:val="Compact"/>
              <w:jc w:val="right"/>
            </w:pPr>
            <w:r>
              <w:rPr>
                <w:rFonts w:ascii="Times New Roman" w:hAnsi="Times New Roman" w:eastAsia="Times New Roman"/>
                <w:sz w:val="20"/>
              </w:rPr>
              <w:t xml:space="preserve">9,0 %</w:t>
            </w:r>
          </w:p>
        </w:tc>
        <w:tc>
          <w:tcPr/>
          <w:p>
            <w:pPr>
              <w:pStyle w:val="Compact"/>
              <w:jc w:val="right"/>
            </w:pPr>
            <w:r>
              <w:rPr>
                <w:rFonts w:ascii="Times New Roman" w:hAnsi="Times New Roman" w:eastAsia="Times New Roman"/>
                <w:sz w:val="20"/>
              </w:rPr>
              <w:t xml:space="preserve">2,5 %</w:t>
            </w:r>
          </w:p>
        </w:tc>
        <w:tc>
          <w:tcPr/>
          <w:p>
            <w:pPr>
              <w:pStyle w:val="Compact"/>
              <w:jc w:val="right"/>
            </w:pPr>
            <w:r>
              <w:rPr>
                <w:rFonts w:ascii="Times New Roman" w:hAnsi="Times New Roman" w:eastAsia="Times New Roman"/>
                <w:sz w:val="20"/>
              </w:rPr>
              <w:t xml:space="preserve">2,6 %</w:t>
            </w:r>
          </w:p>
        </w:tc>
        <w:tc>
          <w:tcPr/>
          <w:p>
            <w:pPr>
              <w:pStyle w:val="Compact"/>
              <w:jc w:val="right"/>
            </w:pPr>
            <w:r>
              <w:rPr>
                <w:rFonts w:ascii="Times New Roman" w:hAnsi="Times New Roman" w:eastAsia="Times New Roman"/>
                <w:sz w:val="20"/>
              </w:rPr>
              <w:t xml:space="preserve">22,2 %</w:t>
            </w:r>
          </w:p>
        </w:tc>
      </w:tr>
      <w:tr>
        <w:tc>
          <w:tcPr/>
          <w:p>
            <w:pPr>
              <w:pStyle w:val="Compact"/>
              <w:jc w:val="left"/>
            </w:pPr>
            <w:r>
              <w:rPr>
                <w:rFonts w:ascii="Times New Roman" w:hAnsi="Times New Roman" w:eastAsia="Times New Roman"/>
                <w:sz w:val="20"/>
              </w:rPr>
              <w:t xml:space="preserve">CEFC-gold</w:t>
            </w:r>
          </w:p>
        </w:tc>
        <w:tc>
          <w:tcPr/>
          <w:p>
            <w:pPr>
              <w:pStyle w:val="Compact"/>
              <w:jc w:val="left"/>
            </w:pPr>
            <w:r>
              <w:rPr>
                <w:rFonts w:ascii="Times New Roman" w:hAnsi="Times New Roman" w:eastAsia="Times New Roman"/>
                <w:sz w:val="20"/>
              </w:rPr>
              <w:t xml:space="preserve">oral</w:t>
            </w:r>
          </w:p>
        </w:tc>
        <w:tc>
          <w:tcPr/>
          <w:p>
            <w:pPr>
              <w:pStyle w:val="Compact"/>
              <w:jc w:val="right"/>
            </w:pPr>
            <w:r>
              <w:rPr>
                <w:rFonts w:ascii="Times New Roman" w:hAnsi="Times New Roman" w:eastAsia="Times New Roman"/>
                <w:sz w:val="20"/>
              </w:rPr>
              <w:t xml:space="preserve">17 638</w:t>
            </w:r>
          </w:p>
        </w:tc>
        <w:tc>
          <w:tcPr/>
          <w:p>
            <w:pPr>
              <w:pStyle w:val="Compact"/>
              <w:jc w:val="right"/>
            </w:pPr>
            <w:r>
              <w:rPr>
                <w:rFonts w:ascii="Times New Roman" w:hAnsi="Times New Roman" w:eastAsia="Times New Roman"/>
                <w:sz w:val="20"/>
              </w:rPr>
              <w:t xml:space="preserve">163 047</w:t>
            </w:r>
          </w:p>
        </w:tc>
        <w:tc>
          <w:tcPr/>
          <w:p>
            <w:pPr>
              <w:pStyle w:val="Compact"/>
              <w:jc w:val="right"/>
            </w:pPr>
            <w:r>
              <w:rPr>
                <w:rFonts w:ascii="Times New Roman" w:hAnsi="Times New Roman" w:eastAsia="Times New Roman"/>
                <w:sz w:val="20"/>
              </w:rPr>
              <w:t xml:space="preserve">9,2</w:t>
            </w:r>
          </w:p>
        </w:tc>
        <w:tc>
          <w:tcPr/>
          <w:p>
            <w:pPr>
              <w:pStyle w:val="Compact"/>
              <w:jc w:val="right"/>
            </w:pPr>
            <w:r>
              <w:rPr>
                <w:rFonts w:ascii="Times New Roman" w:hAnsi="Times New Roman" w:eastAsia="Times New Roman"/>
                <w:sz w:val="20"/>
              </w:rPr>
              <w:t xml:space="preserve">12,3 %</w:t>
            </w:r>
          </w:p>
        </w:tc>
        <w:tc>
          <w:tcPr/>
          <w:p>
            <w:pPr>
              <w:pStyle w:val="Compact"/>
              <w:jc w:val="right"/>
            </w:pPr>
            <w:r>
              <w:rPr>
                <w:rFonts w:ascii="Times New Roman" w:hAnsi="Times New Roman" w:eastAsia="Times New Roman"/>
                <w:sz w:val="20"/>
              </w:rPr>
              <w:t xml:space="preserve">3,5 %</w:t>
            </w:r>
          </w:p>
        </w:tc>
        <w:tc>
          <w:tcPr/>
          <w:p>
            <w:pPr>
              <w:pStyle w:val="Compact"/>
              <w:jc w:val="right"/>
            </w:pPr>
            <w:r>
              <w:rPr>
                <w:rFonts w:ascii="Times New Roman" w:hAnsi="Times New Roman" w:eastAsia="Times New Roman"/>
                <w:sz w:val="20"/>
              </w:rPr>
              <w:t xml:space="preserve">1,3 %</w:t>
            </w:r>
          </w:p>
        </w:tc>
        <w:tc>
          <w:tcPr/>
          <w:p>
            <w:pPr>
              <w:pStyle w:val="Compact"/>
              <w:jc w:val="right"/>
            </w:pPr>
            <w:r>
              <w:rPr>
                <w:rFonts w:ascii="Times New Roman" w:hAnsi="Times New Roman" w:eastAsia="Times New Roman"/>
                <w:sz w:val="20"/>
              </w:rPr>
              <w:t xml:space="preserve">18,6 %</w:t>
            </w:r>
          </w:p>
        </w:tc>
      </w:tr>
    </w:tbl>
    <w:bookmarkEnd w:id="41"/>
    <w:bookmarkStart w:id="46" w:name="microsyntaxe-et-macrosyntaxe"/>
    <w:p>
      <w:pPr>
        <w:pStyle w:val="Heading1"/>
      </w:pPr>
      <w:r>
        <w:rPr>
          <w:rFonts w:ascii="Times New Roman" w:hAnsi="Times New Roman" w:eastAsia="Times New Roman"/>
          <w:b/>
          <w:sz w:val="24"/>
        </w:rPr>
        <w:t xml:space="preserve">3.2. Microsyntaxe et macrosyntaxe</w:t>
      </w:r>
    </w:p>
    <w:p>
      <w:pPr>
        <w:pStyle w:val="BodyText"/>
        <w:jc w:val="both"/>
      </w:pPr>
      <w:r>
        <w:rPr>
          <w:rFonts w:ascii="Times New Roman" w:hAnsi="Times New Roman" w:eastAsia="Times New Roman"/>
          <w:sz w:val="24"/>
        </w:rPr>
        <w:t xml:space="preserve">Selon Christiansen &amp; Chater (2016), le traitement du langage comporte plusieurs niveaux de goulot d’étranglement, et les relations entre énoncés ne sont pas gérées au même niveau que les relations à l’intérieur d’un énoncé. Nous faisons l’hypothèse que la microsyntaxe et la macrosyntaxe (Blanche-Benveniste 1990) ne sont pas gérées au même niveau et que les relations macrosyntaxiques ne subissent pas la pression de la mémoire de travail qui traite la microsyntaxe. Les relations macrosyntaxiques sont, dans l’annotation SUD, les marqueurs de discours (</w:t>
      </w:r>
      <w:r>
        <w:rPr>
          <w:rStyle w:val="VerbatimChar"/>
          <w:rFonts w:ascii="Times New Roman" w:hAnsi="Times New Roman" w:eastAsia="Times New Roman"/>
          <w:sz w:val="24"/>
        </w:rPr>
        <w:t xml:space="preserve">discourse</w:t>
      </w:r>
      <w:r>
        <w:rPr>
          <w:rFonts w:ascii="Times New Roman" w:hAnsi="Times New Roman" w:eastAsia="Times New Roman"/>
          <w:sz w:val="24"/>
        </w:rPr>
        <w:t xml:space="preserve">), les dislocations (</w:t>
      </w:r>
      <w:r>
        <w:rPr>
          <w:rStyle w:val="VerbatimChar"/>
          <w:rFonts w:ascii="Times New Roman" w:hAnsi="Times New Roman" w:eastAsia="Times New Roman"/>
          <w:sz w:val="24"/>
        </w:rPr>
        <w:t xml:space="preserve">dislocated</w:t>
      </w:r>
      <w:r>
        <w:rPr>
          <w:rFonts w:ascii="Times New Roman" w:hAnsi="Times New Roman" w:eastAsia="Times New Roman"/>
          <w:sz w:val="24"/>
        </w:rPr>
        <w:t xml:space="preserve">), les vocatifs (</w:t>
      </w:r>
      <w:r>
        <w:rPr>
          <w:rStyle w:val="VerbatimChar"/>
          <w:rFonts w:ascii="Times New Roman" w:hAnsi="Times New Roman" w:eastAsia="Times New Roman"/>
          <w:sz w:val="24"/>
        </w:rPr>
        <w:t xml:space="preserve">vocative</w:t>
      </w:r>
      <w:r>
        <w:rPr>
          <w:rFonts w:ascii="Times New Roman" w:hAnsi="Times New Roman" w:eastAsia="Times New Roman"/>
          <w:sz w:val="24"/>
        </w:rPr>
        <w:t xml:space="preserve">) et les parenthèses et autres parataxes (</w:t>
      </w:r>
      <w:r>
        <w:rPr>
          <w:rStyle w:val="VerbatimChar"/>
          <w:rFonts w:ascii="Times New Roman" w:hAnsi="Times New Roman" w:eastAsia="Times New Roman"/>
          <w:sz w:val="24"/>
        </w:rPr>
        <w:t xml:space="preserve">parataxis</w:t>
      </w:r>
      <w:r>
        <w:rPr>
          <w:rFonts w:ascii="Times New Roman" w:hAnsi="Times New Roman" w:eastAsia="Times New Roman"/>
          <w:sz w:val="24"/>
        </w:rPr>
        <w:t xml:space="preserve">).</w:t>
      </w:r>
      <w:r>
        <w:rPr>
          <w:rStyle w:val="FootnoteReference"/>
          <w:rFonts w:ascii="Times New Roman" w:hAnsi="Times New Roman" w:eastAsia="Times New Roman"/>
          <w:sz w:val="24"/>
        </w:rPr>
        <w:footnoteReference w:id="42"/>
      </w:r>
      <w:r>
        <w:rPr>
          <w:rFonts w:ascii="Times New Roman" w:hAnsi="Times New Roman" w:eastAsia="Times New Roman"/>
          <w:sz w:val="24"/>
        </w:rPr>
        <w:t xml:space="preserve"> </w:t>
      </w:r>
      <w:r>
        <w:rPr>
          <w:rFonts w:ascii="Times New Roman" w:hAnsi="Times New Roman" w:eastAsia="Times New Roman"/>
          <w:sz w:val="24"/>
        </w:rPr>
        <w:t xml:space="preserve">Mais ce ne sont pas les seules à échapper à la rection du verbe. Dans l’approche de Blanche-Benveniste (1990), reprise par Benzitoun</w:t>
      </w:r>
      <w:r>
        <w:rPr>
          <w:rFonts w:ascii="Times New Roman" w:hAnsi="Times New Roman" w:eastAsia="Times New Roman"/>
          <w:sz w:val="24"/>
        </w:rPr>
        <w:t xml:space="preserve"> </w:t>
      </w:r>
      <w:r>
        <w:rPr>
          <w:iCs/>
          <w:rFonts w:ascii="Times New Roman" w:hAnsi="Times New Roman" w:eastAsia="Times New Roman"/>
          <w:i/>
          <w:sz w:val="24"/>
        </w:rPr>
        <w:t xml:space="preserve">et al.</w:t>
      </w:r>
      <w:r>
        <w:rPr>
          <w:rFonts w:ascii="Times New Roman" w:hAnsi="Times New Roman" w:eastAsia="Times New Roman"/>
          <w:sz w:val="24"/>
        </w:rPr>
        <w:t xml:space="preserve"> </w:t>
      </w:r>
      <w:r>
        <w:rPr>
          <w:rFonts w:ascii="Times New Roman" w:hAnsi="Times New Roman" w:eastAsia="Times New Roman"/>
          <w:sz w:val="24"/>
        </w:rPr>
        <w:t xml:space="preserve">(2010), les éléments antéposés au sujet, comme</w:t>
      </w:r>
      <w:r>
        <w:rPr>
          <w:rFonts w:ascii="Times New Roman" w:hAnsi="Times New Roman" w:eastAsia="Times New Roman"/>
          <w:sz w:val="24"/>
        </w:rPr>
        <w:t xml:space="preserve"> </w:t>
      </w:r>
      <w:r>
        <w:rPr>
          <w:iCs/>
          <w:rFonts w:ascii="Times New Roman" w:hAnsi="Times New Roman" w:eastAsia="Times New Roman"/>
          <w:i/>
          <w:sz w:val="24"/>
        </w:rPr>
        <w:t xml:space="preserve">quand tu mets la farine</w:t>
      </w:r>
      <w:r>
        <w:rPr>
          <w:rFonts w:ascii="Times New Roman" w:hAnsi="Times New Roman" w:eastAsia="Times New Roman"/>
          <w:sz w:val="24"/>
        </w:rPr>
        <w:t xml:space="preserve"> </w:t>
      </w:r>
      <w:r>
        <w:rPr>
          <w:rFonts w:ascii="Times New Roman" w:hAnsi="Times New Roman" w:eastAsia="Times New Roman"/>
          <w:sz w:val="24"/>
        </w:rPr>
        <w:t xml:space="preserve">et</w:t>
      </w:r>
      <w:r>
        <w:rPr>
          <w:rFonts w:ascii="Times New Roman" w:hAnsi="Times New Roman" w:eastAsia="Times New Roman"/>
          <w:sz w:val="24"/>
        </w:rPr>
        <w:t xml:space="preserve"> </w:t>
      </w:r>
      <w:r>
        <w:rPr>
          <w:iCs/>
          <w:rFonts w:ascii="Times New Roman" w:hAnsi="Times New Roman" w:eastAsia="Times New Roman"/>
          <w:i/>
          <w:sz w:val="24"/>
        </w:rPr>
        <w:t xml:space="preserve">au final</w:t>
      </w:r>
      <w:r>
        <w:rPr>
          <w:rFonts w:ascii="Times New Roman" w:hAnsi="Times New Roman" w:eastAsia="Times New Roman"/>
          <w:sz w:val="24"/>
        </w:rPr>
        <w:t xml:space="preserve"> </w:t>
      </w:r>
      <w:r>
        <w:rPr>
          <w:rFonts w:ascii="Times New Roman" w:hAnsi="Times New Roman" w:eastAsia="Times New Roman"/>
          <w:sz w:val="24"/>
        </w:rPr>
        <w:t xml:space="preserve">dans</w:t>
      </w:r>
      <w:r>
        <w:rPr>
          <w:rFonts w:ascii="Times New Roman" w:hAnsi="Times New Roman" w:eastAsia="Times New Roman"/>
          <w:sz w:val="24"/>
        </w:rPr>
        <w:t xml:space="preserve"> </w:t>
      </w:r>
      <w:r>
        <w:rPr>
          <w:iCs/>
          <w:rFonts w:ascii="Times New Roman" w:hAnsi="Times New Roman" w:eastAsia="Times New Roman"/>
          <w:i/>
          <w:sz w:val="24"/>
        </w:rPr>
        <w:t xml:space="preserve">en fait quand tu mets la farine au final ça se décolle</w:t>
      </w:r>
      <w:r>
        <w:rPr>
          <w:rFonts w:ascii="Times New Roman" w:hAnsi="Times New Roman" w:eastAsia="Times New Roman"/>
          <w:sz w:val="24"/>
        </w:rPr>
        <w:t xml:space="preserve"> </w:t>
      </w:r>
      <w:r>
        <w:rPr>
          <w:rFonts w:ascii="Times New Roman" w:hAnsi="Times New Roman" w:eastAsia="Times New Roman"/>
          <w:sz w:val="24"/>
        </w:rPr>
        <w:t xml:space="preserve">(ParisStories), sont des îlots qui ne font pas partie du noyau de la construction verbale. Nous les traitons donc aussi comme macrosyntaxiques : tout modifieur (</w:t>
      </w:r>
      <w:r>
        <w:rPr>
          <w:rStyle w:val="VerbatimChar"/>
          <w:rFonts w:ascii="Times New Roman" w:hAnsi="Times New Roman" w:eastAsia="Times New Roman"/>
          <w:sz w:val="24"/>
        </w:rPr>
        <w:t xml:space="preserve">mod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udep</w:t>
      </w:r>
      <w:r>
        <w:rPr>
          <w:rFonts w:ascii="Times New Roman" w:hAnsi="Times New Roman" w:eastAsia="Times New Roman"/>
          <w:sz w:val="24"/>
        </w:rPr>
        <w:t xml:space="preserve">) d’un verbe placé avant le sujet de ce verbe est réétiqueté</w:t>
      </w:r>
      <w:r>
        <w:rPr>
          <w:rFonts w:ascii="Times New Roman" w:hAnsi="Times New Roman" w:eastAsia="Times New Roman"/>
          <w:sz w:val="24"/>
        </w:rPr>
        <w:t xml:space="preserve"> </w:t>
      </w:r>
      <w:r>
        <w:rPr>
          <w:rStyle w:val="VerbatimChar"/>
          <w:rFonts w:ascii="Times New Roman" w:hAnsi="Times New Roman" w:eastAsia="Times New Roman"/>
          <w:sz w:val="24"/>
        </w:rPr>
        <w:t xml:space="preserve">mod:periph</w:t>
      </w:r>
      <w:r>
        <w:rPr>
          <w:rFonts w:ascii="Times New Roman" w:hAnsi="Times New Roman" w:eastAsia="Times New Roman"/>
          <w:sz w:val="24"/>
        </w:rPr>
        <w:t xml:space="preserve">, à l’oral comme à l’écrit. Ces modifieurs antéposés représentent 1,5 à 1,6 % des dépendances de l’écrit et 2,5 à 3,5 % de celles de l’oral (tableau 1).</w:t>
      </w:r>
    </w:p>
    <w:p>
      <w:pPr>
        <w:pStyle w:val="BodyText"/>
        <w:jc w:val="both"/>
      </w:pPr>
      <w:r>
        <w:rPr>
          <w:rFonts w:ascii="Times New Roman" w:hAnsi="Times New Roman" w:eastAsia="Times New Roman"/>
          <w:sz w:val="24"/>
        </w:rPr>
        <w:t xml:space="preserve">Nous calculons toutes les mesures deux fois : sur les unités illocutoires avec toutes leurs relations, et sur leurs</w:t>
      </w:r>
      <w:r>
        <w:rPr>
          <w:rFonts w:ascii="Times New Roman" w:hAnsi="Times New Roman" w:eastAsia="Times New Roman"/>
          <w:sz w:val="24"/>
        </w:rPr>
        <w:t xml:space="preserve"> </w:t>
      </w:r>
      <w:r>
        <w:rPr>
          <w:iCs/>
          <w:rFonts w:ascii="Times New Roman" w:hAnsi="Times New Roman" w:eastAsia="Times New Roman"/>
          <w:i/>
          <w:sz w:val="24"/>
        </w:rPr>
        <w:t xml:space="preserve">composantes illocutoires</w:t>
      </w:r>
      <w:r>
        <w:rPr>
          <w:rFonts w:ascii="Times New Roman" w:hAnsi="Times New Roman" w:eastAsia="Times New Roman"/>
          <w:sz w:val="24"/>
        </w:rPr>
        <w:t xml:space="preserve"> </w:t>
      </w:r>
      <w:r>
        <w:rPr>
          <w:rFonts w:ascii="Times New Roman" w:hAnsi="Times New Roman" w:eastAsia="Times New Roman"/>
          <w:sz w:val="24"/>
        </w:rPr>
        <w:t xml:space="preserve">(Benzitoun</w:t>
      </w:r>
      <w:r>
        <w:rPr>
          <w:rFonts w:ascii="Times New Roman" w:hAnsi="Times New Roman" w:eastAsia="Times New Roman"/>
          <w:sz w:val="24"/>
        </w:rPr>
        <w:t xml:space="preserve"> </w:t>
      </w:r>
      <w:r>
        <w:rPr>
          <w:iCs/>
          <w:rFonts w:ascii="Times New Roman" w:hAnsi="Times New Roman" w:eastAsia="Times New Roman"/>
          <w:i/>
          <w:sz w:val="24"/>
        </w:rPr>
        <w:t xml:space="preserve">et al.</w:t>
      </w:r>
      <w:r>
        <w:rPr>
          <w:rFonts w:ascii="Times New Roman" w:hAnsi="Times New Roman" w:eastAsia="Times New Roman"/>
          <w:sz w:val="24"/>
        </w:rPr>
        <w:t xml:space="preserve"> </w:t>
      </w:r>
      <w:r>
        <w:rPr>
          <w:rFonts w:ascii="Times New Roman" w:hAnsi="Times New Roman" w:eastAsia="Times New Roman"/>
          <w:sz w:val="24"/>
        </w:rPr>
        <w:t xml:space="preserve">2010), obtenues en coupant toutes les dépendances macrosyntaxiques,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mod:periph</w:t>
      </w:r>
      <w:r>
        <w:rPr>
          <w:rFonts w:ascii="Times New Roman" w:hAnsi="Times New Roman" w:eastAsia="Times New Roman"/>
          <w:sz w:val="24"/>
        </w:rPr>
        <w:t xml:space="preserve"> </w:t>
      </w:r>
      <w:r>
        <w:rPr>
          <w:rFonts w:ascii="Times New Roman" w:hAnsi="Times New Roman" w:eastAsia="Times New Roman"/>
          <w:sz w:val="24"/>
        </w:rPr>
        <w:t xml:space="preserve">compris, et qui ne contiennent plus que des dépendances microsyntaxiques. Un segment ainsi détaché peut être long, comme une parenthèse ou un élément disloqué : s’il compte au moins trois mots, il devient une composante à part entière, mesurée et classée selon sa propre longueur ; sinon, il est simplement retiré. La composante hôte, débarrassée de ces segments, est renumérotée et classée selon sa nouvelle longueur. Ainsi, dans l’énoncé de la figure 1,</w:t>
      </w:r>
      <w:r>
        <w:rPr>
          <w:rFonts w:ascii="Times New Roman" w:hAnsi="Times New Roman" w:eastAsia="Times New Roman"/>
          <w:sz w:val="24"/>
        </w:rPr>
        <w:t xml:space="preserve"> </w:t>
      </w:r>
      <w:r>
        <w:rPr>
          <w:iCs/>
          <w:rFonts w:ascii="Times New Roman" w:hAnsi="Times New Roman" w:eastAsia="Times New Roman"/>
          <w:i/>
          <w:sz w:val="24"/>
        </w:rPr>
        <w:t xml:space="preserve">ah</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oui</w:t>
      </w:r>
      <w:r>
        <w:rPr>
          <w:rFonts w:ascii="Times New Roman" w:hAnsi="Times New Roman" w:eastAsia="Times New Roman"/>
          <w:sz w:val="24"/>
        </w:rPr>
        <w:t xml:space="preserve"> </w:t>
      </w:r>
      <w:r>
        <w:rPr>
          <w:rFonts w:ascii="Times New Roman" w:hAnsi="Times New Roman" w:eastAsia="Times New Roman"/>
          <w:sz w:val="24"/>
        </w:rPr>
        <w:t xml:space="preserve">et</w:t>
      </w:r>
      <w:r>
        <w:rPr>
          <w:rFonts w:ascii="Times New Roman" w:hAnsi="Times New Roman" w:eastAsia="Times New Roman"/>
          <w:sz w:val="24"/>
        </w:rPr>
        <w:t xml:space="preserve"> </w:t>
      </w:r>
      <w:r>
        <w:rPr>
          <w:iCs/>
          <w:rFonts w:ascii="Times New Roman" w:hAnsi="Times New Roman" w:eastAsia="Times New Roman"/>
          <w:i/>
          <w:sz w:val="24"/>
        </w:rPr>
        <w:t xml:space="preserve">ce quatre-vingt-six</w:t>
      </w:r>
      <w:r>
        <w:rPr>
          <w:rFonts w:ascii="Times New Roman" w:hAnsi="Times New Roman" w:eastAsia="Times New Roman"/>
          <w:sz w:val="24"/>
        </w:rPr>
        <w:t xml:space="preserve"> </w:t>
      </w:r>
      <w:r>
        <w:rPr>
          <w:rFonts w:ascii="Times New Roman" w:hAnsi="Times New Roman" w:eastAsia="Times New Roman"/>
          <w:sz w:val="24"/>
        </w:rPr>
        <w:t xml:space="preserve">sont retirés, et il reste</w:t>
      </w:r>
      <w:r>
        <w:rPr>
          <w:rFonts w:ascii="Times New Roman" w:hAnsi="Times New Roman" w:eastAsia="Times New Roman"/>
          <w:sz w:val="24"/>
        </w:rPr>
        <w:t xml:space="preserve"> </w:t>
      </w:r>
      <w:r>
        <w:rPr>
          <w:iCs/>
          <w:rFonts w:ascii="Times New Roman" w:hAnsi="Times New Roman" w:eastAsia="Times New Roman"/>
          <w:i/>
          <w:sz w:val="24"/>
        </w:rPr>
        <w:t xml:space="preserve">c’est un très beau trajet</w:t>
      </w:r>
      <w:r>
        <w:rPr>
          <w:rFonts w:ascii="Times New Roman" w:hAnsi="Times New Roman" w:eastAsia="Times New Roman"/>
          <w:sz w:val="24"/>
        </w:rPr>
        <w:t xml:space="preserve">, six mots dont le flux ne dépasse plus 3.</w:t>
      </w:r>
    </w:p>
    <w:p>
      <w:pPr>
        <w:pStyle w:val="BodyText"/>
        <w:jc w:val="both"/>
      </w:pPr>
      <w:r>
        <w:rPr>
          <w:rFonts w:ascii="Times New Roman" w:hAnsi="Times New Roman" w:eastAsia="Times New Roman"/>
          <w:sz w:val="24"/>
        </w:rPr>
        <w:t xml:space="preserve">Le cas des reprises (</w:t>
      </w:r>
      <w:r>
        <w:rPr>
          <w:rStyle w:val="VerbatimChar"/>
          <w:rFonts w:ascii="Times New Roman" w:hAnsi="Times New Roman" w:eastAsia="Times New Roman"/>
          <w:sz w:val="24"/>
        </w:rPr>
        <w:t xml:space="preserve">reparandum</w:t>
      </w:r>
      <w:r>
        <w:rPr>
          <w:rFonts w:ascii="Times New Roman" w:hAnsi="Times New Roman" w:eastAsia="Times New Roman"/>
          <w:sz w:val="24"/>
        </w:rPr>
        <w:t xml:space="preserve">) et des reformulations (</w:t>
      </w:r>
      <w:r>
        <w:rPr>
          <w:rStyle w:val="VerbatimChar"/>
          <w:rFonts w:ascii="Times New Roman" w:hAnsi="Times New Roman" w:eastAsia="Times New Roman"/>
          <w:sz w:val="24"/>
        </w:rPr>
        <w:t xml:space="preserve">conj:reform</w:t>
      </w:r>
      <w:r>
        <w:rPr>
          <w:rFonts w:ascii="Times New Roman" w:hAnsi="Times New Roman" w:eastAsia="Times New Roman"/>
          <w:sz w:val="24"/>
        </w:rPr>
        <w:t xml:space="preserve">) est différent : ce sont a priori des relations microsyntaxiques, mais propres à l’oral. Une reprise est un segment abandonné puis repris, à l’identique ou presque, comme le premier</w:t>
      </w:r>
      <w:r>
        <w:rPr>
          <w:rFonts w:ascii="Times New Roman" w:hAnsi="Times New Roman" w:eastAsia="Times New Roman"/>
          <w:sz w:val="24"/>
        </w:rPr>
        <w:t xml:space="preserve"> </w:t>
      </w:r>
      <w:r>
        <w:rPr>
          <w:iCs/>
          <w:rFonts w:ascii="Times New Roman" w:hAnsi="Times New Roman" w:eastAsia="Times New Roman"/>
          <w:i/>
          <w:sz w:val="24"/>
        </w:rPr>
        <w:t xml:space="preserve">c’était</w:t>
      </w:r>
      <w:r>
        <w:rPr>
          <w:rFonts w:ascii="Times New Roman" w:hAnsi="Times New Roman" w:eastAsia="Times New Roman"/>
          <w:sz w:val="24"/>
        </w:rPr>
        <w:t xml:space="preserve"> </w:t>
      </w:r>
      <w:r>
        <w:rPr>
          <w:rFonts w:ascii="Times New Roman" w:hAnsi="Times New Roman" w:eastAsia="Times New Roman"/>
          <w:sz w:val="24"/>
        </w:rPr>
        <w:t xml:space="preserve">de la figure 5 ; une reformulation est un segment remplacé par un autre qui occupe la même place syntaxique sans l’annuler, comme</w:t>
      </w:r>
      <w:r>
        <w:rPr>
          <w:rFonts w:ascii="Times New Roman" w:hAnsi="Times New Roman" w:eastAsia="Times New Roman"/>
          <w:sz w:val="24"/>
        </w:rPr>
        <w:t xml:space="preserve"> </w:t>
      </w:r>
      <w:r>
        <w:rPr>
          <w:iCs/>
          <w:rFonts w:ascii="Times New Roman" w:hAnsi="Times New Roman" w:eastAsia="Times New Roman"/>
          <w:i/>
          <w:sz w:val="24"/>
        </w:rPr>
        <w:t xml:space="preserve">super spacieux</w:t>
      </w:r>
      <w:r>
        <w:rPr>
          <w:rFonts w:ascii="Times New Roman" w:hAnsi="Times New Roman" w:eastAsia="Times New Roman"/>
          <w:sz w:val="24"/>
        </w:rPr>
        <w:t xml:space="preserve"> </w:t>
      </w:r>
      <w:r>
        <w:rPr>
          <w:rFonts w:ascii="Times New Roman" w:hAnsi="Times New Roman" w:eastAsia="Times New Roman"/>
          <w:sz w:val="24"/>
        </w:rPr>
        <w:t xml:space="preserve">qui reformule</w:t>
      </w:r>
      <w:r>
        <w:rPr>
          <w:rFonts w:ascii="Times New Roman" w:hAnsi="Times New Roman" w:eastAsia="Times New Roman"/>
          <w:sz w:val="24"/>
        </w:rPr>
        <w:t xml:space="preserve"> </w:t>
      </w:r>
      <w:r>
        <w:rPr>
          <w:iCs/>
          <w:rFonts w:ascii="Times New Roman" w:hAnsi="Times New Roman" w:eastAsia="Times New Roman"/>
          <w:i/>
          <w:sz w:val="24"/>
        </w:rPr>
        <w:t xml:space="preserve">super bien</w:t>
      </w:r>
      <w:r>
        <w:rPr>
          <w:rFonts w:ascii="Times New Roman" w:hAnsi="Times New Roman" w:eastAsia="Times New Roman"/>
          <w:sz w:val="24"/>
        </w:rPr>
        <w:t xml:space="preserve">. En SUD, la reprise dépend du segment qui la remplace par la relation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reparandum</w:t>
      </w:r>
      <w:r>
        <w:rPr>
          <w:rFonts w:ascii="Times New Roman" w:hAnsi="Times New Roman" w:eastAsia="Times New Roman"/>
          <w:sz w:val="24"/>
        </w:rPr>
        <w:t xml:space="preserve">, et la reformulation est une relation entre deux conjoints, où le deuxième reformule le premier (</w:t>
      </w:r>
      <w:r>
        <w:rPr>
          <w:rStyle w:val="VerbatimChar"/>
          <w:rFonts w:ascii="Times New Roman" w:hAnsi="Times New Roman" w:eastAsia="Times New Roman"/>
          <w:sz w:val="24"/>
        </w:rPr>
        <w:t xml:space="preserve">conj:reform</w:t>
      </w:r>
      <w:r>
        <w:rPr>
          <w:rFonts w:ascii="Times New Roman" w:hAnsi="Times New Roman" w:eastAsia="Times New Roman"/>
          <w:sz w:val="24"/>
        </w:rPr>
        <w:t xml:space="preserve">). On peut supposer que les reprises sont effacées immédiatement de la mémoire de travail (les auditeurs les remarquent à peine), alors que les reformulations sont traitées et que le destinataire construit un cumul ou un compromis des différentes formulations (Blanche-Benveniste 1990). Nous donnons aussi les mesures sans les reprises, retirées comme les segments macrosyntaxiques.</w:t>
      </w:r>
    </w:p>
    <w:p>
      <w:pPr>
        <w:pStyle w:val="CaptionedFigure"/>
        <w:jc w:val="center"/>
      </w:pPr>
      <w:r>
        <w:drawing>
          <wp:inline>
            <wp:extent cx="5759999" cy="2079999"/>
            <wp:effectExtent b="0" l="0" r="0" t="0"/>
            <wp:docPr descr="Figure 5 : Un énoncé de ParisStories avec une reprise (reparandum) et une reformulation (conj:reform)." title="" id="44" name="Picture"/>
            <a:graphic>
              <a:graphicData uri="http://schemas.openxmlformats.org/drawingml/2006/picture">
                <pic:pic>
                  <pic:nvPicPr>
                    <pic:cNvPr descr="fig/fig_rep.png" id="45" name="Picture"/>
                    <pic:cNvPicPr>
                      <a:picLocks noChangeArrowheads="1" noChangeAspect="1"/>
                    </pic:cNvPicPr>
                  </pic:nvPicPr>
                  <pic:blipFill>
                    <a:blip r:embed="rId43"/>
                    <a:stretch>
                      <a:fillRect/>
                    </a:stretch>
                  </pic:blipFill>
                  <pic:spPr bwMode="auto">
                    <a:xfrm>
                      <a:off x="0" y="0"/>
                      <a:ext cx="5759999" cy="2079999"/>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2"/>
        </w:rPr>
        <w:t xml:space="preserve">Figure 5 : Un énoncé de ParisStories avec une reprise (</w:t>
      </w:r>
      <w:r>
        <w:rPr>
          <w:rStyle w:val="VerbatimChar"/>
          <w:rFonts w:ascii="Times New Roman" w:hAnsi="Times New Roman" w:eastAsia="Times New Roman"/>
          <w:sz w:val="22"/>
        </w:rPr>
        <w:t xml:space="preserve">reparandum</w:t>
      </w:r>
      <w:r>
        <w:rPr>
          <w:rFonts w:ascii="Times New Roman" w:hAnsi="Times New Roman" w:eastAsia="Times New Roman"/>
          <w:sz w:val="22"/>
        </w:rPr>
        <w:t xml:space="preserve">) et une reformulation (</w:t>
      </w:r>
      <w:r>
        <w:rPr>
          <w:rStyle w:val="VerbatimChar"/>
          <w:rFonts w:ascii="Times New Roman" w:hAnsi="Times New Roman" w:eastAsia="Times New Roman"/>
          <w:sz w:val="22"/>
        </w:rPr>
        <w:t xml:space="preserve">conj:reform</w:t>
      </w:r>
      <w:r>
        <w:rPr>
          <w:rFonts w:ascii="Times New Roman" w:hAnsi="Times New Roman" w:eastAsia="Times New Roman"/>
          <w:sz w:val="22"/>
        </w:rPr>
        <w:t xml:space="preserve">).</w:t>
      </w:r>
    </w:p>
    <w:bookmarkEnd w:id="46"/>
    <w:bookmarkStart w:id="48" w:name="caractéristiques-des-corpus"/>
    <w:p>
      <w:pPr>
        <w:pStyle w:val="Heading1"/>
      </w:pPr>
      <w:r>
        <w:rPr>
          <w:rFonts w:ascii="Times New Roman" w:hAnsi="Times New Roman" w:eastAsia="Times New Roman"/>
          <w:b/>
          <w:sz w:val="24"/>
        </w:rPr>
        <w:t xml:space="preserve">3.3. Caractéristiques des corpus</w:t>
      </w:r>
    </w:p>
    <w:p>
      <w:pPr>
        <w:pStyle w:val="BodyText"/>
        <w:jc w:val="both"/>
      </w:pPr>
      <w:r>
        <w:rPr>
          <w:rFonts w:ascii="Times New Roman" w:hAnsi="Times New Roman" w:eastAsia="Times New Roman"/>
          <w:sz w:val="24"/>
        </w:rPr>
        <w:t xml:space="preserve">En SUD, les mots fonctionnels (prépositions, auxiliaires, conjonctions de subordination) sont les têtes de leur groupe, ce qui donne des dépendances plus courtes qu’en UD et des distributions de longueurs plus régulières (Petrini &amp; Ferrer-i-Cancho 2025). Pour le poids du flux, nous utilisons aussi une vue restreinte aux mots pleins (ContentUD) : l’arbre UD dont on retire les mots fonctionnels (déterminants, prépositions, auxiliaires, copules, conjonctions), pour nous concentrer sur les relations qui, selon nous, créent réellement de la complexité pour l’interlocuteur.</w:t>
      </w:r>
      <w:r>
        <w:rPr>
          <w:rStyle w:val="FootnoteReference"/>
          <w:rFonts w:ascii="Times New Roman" w:hAnsi="Times New Roman" w:eastAsia="Times New Roman"/>
          <w:sz w:val="24"/>
        </w:rPr>
        <w:footnoteReference w:id="47"/>
      </w:r>
    </w:p>
    <w:p>
      <w:pPr>
        <w:pStyle w:val="BodyText"/>
        <w:jc w:val="both"/>
      </w:pPr>
      <w:r>
        <w:rPr>
          <w:rFonts w:ascii="Times New Roman" w:hAnsi="Times New Roman" w:eastAsia="Times New Roman"/>
          <w:sz w:val="24"/>
        </w:rPr>
        <w:t xml:space="preserve">Le tableau 1 résume ce qui distingue les corpus. Un cinquième à un tiers des unités orales commencent par une conjonction de coordination, contre moins d’une sur dix à l’écrit (même après notre segmentation). Les relations macrosyntaxiques représentent 9 à 14 % des dépendances de l’oral et moins de 2 % de celles de l’écrit, où ce sont presque uniquement des modifieurs antéposés ; les reprises, 1,3 à 2,6 % à l’oral et aucune à l’écrit. Les marqueurs de discours sont pour moitié des hésitations :</w:t>
      </w:r>
      <w:r>
        <w:rPr>
          <w:rFonts w:ascii="Times New Roman" w:hAnsi="Times New Roman" w:eastAsia="Times New Roman"/>
          <w:sz w:val="24"/>
        </w:rPr>
        <w:t xml:space="preserve"> </w:t>
      </w:r>
      <w:r>
        <w:rPr>
          <w:iCs/>
          <w:rFonts w:ascii="Times New Roman" w:hAnsi="Times New Roman" w:eastAsia="Times New Roman"/>
          <w:i/>
          <w:sz w:val="24"/>
        </w:rPr>
        <w:t xml:space="preserve">euh</w:t>
      </w:r>
      <w:r>
        <w:rPr>
          <w:rFonts w:ascii="Times New Roman" w:hAnsi="Times New Roman" w:eastAsia="Times New Roman"/>
          <w:sz w:val="24"/>
        </w:rPr>
        <w:t xml:space="preserve"> </w:t>
      </w:r>
      <w:r>
        <w:rPr>
          <w:rFonts w:ascii="Times New Roman" w:hAnsi="Times New Roman" w:eastAsia="Times New Roman"/>
          <w:sz w:val="24"/>
        </w:rPr>
        <w:t xml:space="preserve">représente 49 % des dépendances</w:t>
      </w:r>
      <w:r>
        <w:rPr>
          <w:rFonts w:ascii="Times New Roman" w:hAnsi="Times New Roman" w:eastAsia="Times New Roman"/>
          <w:sz w:val="24"/>
        </w:rPr>
        <w:t xml:space="preserve"> </w:t>
      </w:r>
      <w:r>
        <w:rPr>
          <w:rStyle w:val="VerbatimChar"/>
          <w:rFonts w:ascii="Times New Roman" w:hAnsi="Times New Roman" w:eastAsia="Times New Roman"/>
          <w:sz w:val="24"/>
        </w:rPr>
        <w:t xml:space="preserve">discourse</w:t>
      </w:r>
      <w:r>
        <w:rPr>
          <w:rFonts w:ascii="Times New Roman" w:hAnsi="Times New Roman" w:eastAsia="Times New Roman"/>
          <w:sz w:val="24"/>
        </w:rPr>
        <w:t xml:space="preserve"> </w:t>
      </w:r>
      <w:r>
        <w:rPr>
          <w:rFonts w:ascii="Times New Roman" w:hAnsi="Times New Roman" w:eastAsia="Times New Roman"/>
          <w:sz w:val="24"/>
        </w:rPr>
        <w:t xml:space="preserve">de ParisStories et 53 % de celles de Rhapsodie. Nos corpus ne couvrent qu’une partie du continuum de Koch &amp; Oesterreicher (2001), qui va de l’immédiat communicatif de la conversation à la distance communicative du texte élaboré, ni des genres du discours (Bakhtine 1984) : ni littérature, aux phrases longues et a priori complexes, ni écrits de réseaux sociaux, plus proches de l’oral.</w:t>
      </w:r>
    </w:p>
    <w:bookmarkEnd w:id="48"/>
    <w:bookmarkEnd w:id="49"/>
    <w:bookmarkStart w:id="68" w:name="résultats"/>
    <w:p>
      <w:pPr>
        <w:pStyle w:val="Heading1"/>
      </w:pPr>
      <w:r>
        <w:rPr>
          <w:rFonts w:ascii="Times New Roman" w:hAnsi="Times New Roman" w:eastAsia="Times New Roman"/>
          <w:b/>
          <w:sz w:val="24"/>
        </w:rPr>
        <w:t xml:space="preserve">4. Résultats</w:t>
      </w:r>
    </w:p>
    <w:bookmarkStart w:id="54" w:name="X141c69cd93fbf1e3af2b0c3fd2e9f4f2099ef72"/>
    <w:p>
      <w:pPr>
        <w:pStyle w:val="Heading1"/>
      </w:pPr>
      <w:r>
        <w:rPr>
          <w:rFonts w:ascii="Times New Roman" w:hAnsi="Times New Roman" w:eastAsia="Times New Roman"/>
          <w:b/>
          <w:sz w:val="24"/>
        </w:rPr>
        <w:t xml:space="preserve">4.1. Taille du flux et longueur des dépendances</w:t>
      </w:r>
    </w:p>
    <w:p>
      <w:pPr>
        <w:pStyle w:val="BodyText"/>
        <w:jc w:val="both"/>
      </w:pPr>
      <w:r>
        <w:rPr>
          <w:rFonts w:ascii="Times New Roman" w:hAnsi="Times New Roman" w:eastAsia="Times New Roman"/>
          <w:sz w:val="24"/>
        </w:rPr>
        <w:t xml:space="preserve">Le tableau 2 donne les mesures pour les unités de 10 à 19 mots, avec toutes les relations et pour la microsyntaxe seule. Avec toutes les relations, les trois corpus oraux ont un flux plus grand que les deux corpus écrits (2,0 à 2,1 dépendances par position contre 1,8) et un indice de saturation nettement plus faible : les flux de grande taille y sont plus fréquents. Pour la microsyntaxe seule, les cinq corpus se rejoignent : le flux moyen de l’oral ne dépasse plus celui de l’écrit que de 0,03 à 0,05, et l’indice de saturation de ParisStories et de Rhapsodie rejoint celui de GSD et de Sequoia ; seul celui de CEFC-gold reste nettement plus faible.</w:t>
      </w:r>
      <w:r>
        <w:rPr>
          <w:rStyle w:val="FootnoteReference"/>
          <w:rFonts w:ascii="Times New Roman" w:hAnsi="Times New Roman" w:eastAsia="Times New Roman"/>
          <w:sz w:val="24"/>
        </w:rPr>
        <w:footnoteReference w:id="50"/>
      </w:r>
      <w:r>
        <w:rPr>
          <w:rFonts w:ascii="Times New Roman" w:hAnsi="Times New Roman" w:eastAsia="Times New Roman"/>
          <w:sz w:val="24"/>
        </w:rPr>
        <w:t xml:space="preserve"> </w:t>
      </w:r>
      <w:r>
        <w:rPr>
          <w:rFonts w:ascii="Times New Roman" w:hAnsi="Times New Roman" w:eastAsia="Times New Roman"/>
          <w:sz w:val="24"/>
        </w:rPr>
        <w:t xml:space="preserve">La figure 6 montre les deux situations : avec la macrosyntaxe, les courbes de l’oral s’écartent de celles de l’écrit à partir d’un flux de 4 ; pour la microsyntaxe seule, les cinq corpus suivent pratiquement la même courbe. Le résultat est le même pour les unités de 10 à 29 mots, et retirer en plus les reprises ne change presque rien : une reprise est courte, et son retrait enlève autant de positions que de dépendances.</w:t>
      </w:r>
    </w:p>
    <w:p>
      <w:pPr>
        <w:pStyle w:val="TableCaption"/>
        <w:jc w:val="center"/>
      </w:pPr>
      <w:r>
        <w:rPr>
          <w:rFonts w:ascii="Times New Roman" w:hAnsi="Times New Roman" w:eastAsia="Times New Roman"/>
          <w:sz w:val="22"/>
        </w:rPr>
        <w:t xml:space="preserve">Tableau 2 : Unités de 10 à 19 mots, SUD : toutes les relations / microsyntaxe seule. Flux et poids moyens par position inter-mots ; λ : indice de saturation. Erreurs types estimées par rééchantillonnage des unités : 0,002 à 0,017 pour les moyennes, 0,02 à 0,07 pour λ</w:t>
      </w:r>
      <w:r>
        <w:rPr>
          <w:rFonts w:ascii="Times New Roman" w:hAnsi="Times New Roman" w:eastAsia="Times New Roman"/>
          <w:sz w:val="22"/>
          <w:vertAlign w:val="subscript"/>
        </w:rPr>
        <w:t xml:space="preserve">flux</w:t>
      </w:r>
      <w:r>
        <w:rPr>
          <w:rFonts w:ascii="Times New Roman" w:hAnsi="Times New Roman" w:eastAsia="Times New Roman"/>
          <w:sz w:val="22"/>
        </w:rPr>
        <w:t xml:space="preserve">, 0,005 à 0,025 pour λ</w:t>
      </w:r>
      <w:r>
        <w:rPr>
          <w:rFonts w:ascii="Times New Roman" w:hAnsi="Times New Roman" w:eastAsia="Times New Roman"/>
          <w:sz w:val="22"/>
          <w:vertAlign w:val="subscript"/>
        </w:rPr>
        <w:t xml:space="preserve">longueur</w:t>
      </w:r>
      <w:r>
        <w:rPr>
          <w:rFonts w:ascii="Times New Roman" w:hAnsi="Times New Roman" w:eastAsia="Times New Roman"/>
          <w:sz w:val="22"/>
        </w:rPr>
        <w:t xml:space="preserve">, 0,1 à 0,4 pour λ</w:t>
      </w:r>
      <w:r>
        <w:rPr>
          <w:rFonts w:ascii="Times New Roman" w:hAnsi="Times New Roman" w:eastAsia="Times New Roman"/>
          <w:sz w:val="22"/>
          <w:vertAlign w:val="subscript"/>
        </w:rPr>
        <w:t xml:space="preserve">poids</w:t>
      </w:r>
      <w:r>
        <w:rPr>
          <w:rFonts w:ascii="Times New Roman" w:hAnsi="Times New Roman" w:eastAsia="Times New Roman"/>
          <w:sz w:val="22"/>
        </w:rPr>
        <w:t xml:space="preserve">.</w:t>
      </w:r>
    </w:p>
    <w:tbl>
      <w:tblPr>
        <w:tblStyle w:val="Table"/>
        <w:tblW w:type="pct" w:w="5000"/>
        <w:tblLook w:firstRow="1" w:lastRow="0" w:firstColumn="0" w:lastColumn="0" w:noHBand="0" w:noVBand="0" w:val="0020"/>
        <w:jc w:val="start"/>
        <w:tblCaption w:val="Tableau 2 : Unités de 10 à 19 mots, SUD : toutes les relations / microsyntaxe seule. Flux et poids moyens par position inter-mots ; λ : indice de saturation. Erreurs types estimées par rééchantillonnage des unités : 0,002 à 0,017 pour les moyennes, 0,02 à 0,07 pour λflux, 0,005 à 0,025 pour λlongueur, 0,1 à 0,4 pour λpoids."/>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true"/>
        </w:trPr>
        <w:tc>
          <w:tcPr/>
          <w:p>
            <w:pPr>
              <w:pStyle w:val="Compact"/>
              <w:jc w:val="left"/>
            </w:pPr>
            <w:r>
              <w:rPr>
                <w:rFonts w:ascii="Times New Roman" w:hAnsi="Times New Roman" w:eastAsia="Times New Roman"/>
                <w:sz w:val="20"/>
              </w:rPr>
              <w:t xml:space="preserve">Corpus</w:t>
            </w:r>
          </w:p>
        </w:tc>
        <w:tc>
          <w:tcPr/>
          <w:p>
            <w:pPr>
              <w:pStyle w:val="Compact"/>
              <w:jc w:val="center"/>
            </w:pPr>
            <w:r>
              <w:rPr>
                <w:rFonts w:ascii="Times New Roman" w:hAnsi="Times New Roman" w:eastAsia="Times New Roman"/>
                <w:sz w:val="20"/>
              </w:rPr>
              <w:t xml:space="preserve">Unités</w:t>
            </w:r>
          </w:p>
        </w:tc>
        <w:tc>
          <w:tcPr/>
          <w:p>
            <w:pPr>
              <w:pStyle w:val="Compact"/>
              <w:jc w:val="center"/>
            </w:pPr>
            <w:r>
              <w:rPr>
                <w:rFonts w:ascii="Times New Roman" w:hAnsi="Times New Roman" w:eastAsia="Times New Roman"/>
                <w:sz w:val="20"/>
              </w:rPr>
              <w:t xml:space="preserve">Flux moyen</w:t>
            </w:r>
          </w:p>
        </w:tc>
        <w:tc>
          <w:tcPr/>
          <w:p>
            <w:pPr>
              <w:pStyle w:val="Compact"/>
              <w:jc w:val="center"/>
            </w:pPr>
            <w:r>
              <w:rPr>
                <w:rFonts w:ascii="Times New Roman" w:hAnsi="Times New Roman" w:eastAsia="Times New Roman"/>
                <w:sz w:val="20"/>
              </w:rPr>
              <w:t xml:space="preserve">λ</w:t>
            </w:r>
            <w:r>
              <w:rPr>
                <w:rFonts w:ascii="Times New Roman" w:hAnsi="Times New Roman" w:eastAsia="Times New Roman"/>
                <w:sz w:val="20"/>
                <w:vertAlign w:val="subscript"/>
              </w:rPr>
              <w:t xml:space="preserve">flux</w:t>
            </w:r>
          </w:p>
        </w:tc>
        <w:tc>
          <w:tcPr/>
          <w:p>
            <w:pPr>
              <w:pStyle w:val="Compact"/>
              <w:jc w:val="center"/>
            </w:pPr>
            <w:r>
              <w:rPr>
                <w:rFonts w:ascii="Times New Roman" w:hAnsi="Times New Roman" w:eastAsia="Times New Roman"/>
                <w:sz w:val="20"/>
              </w:rPr>
              <w:t xml:space="preserve">λ</w:t>
            </w:r>
            <w:r>
              <w:rPr>
                <w:rFonts w:ascii="Times New Roman" w:hAnsi="Times New Roman" w:eastAsia="Times New Roman"/>
                <w:sz w:val="20"/>
                <w:vertAlign w:val="subscript"/>
              </w:rPr>
              <w:t xml:space="preserve">longueur</w:t>
            </w:r>
          </w:p>
        </w:tc>
        <w:tc>
          <w:tcPr/>
          <w:p>
            <w:pPr>
              <w:pStyle w:val="Compact"/>
              <w:jc w:val="center"/>
            </w:pPr>
            <w:r>
              <w:rPr>
                <w:rFonts w:ascii="Times New Roman" w:hAnsi="Times New Roman" w:eastAsia="Times New Roman"/>
                <w:sz w:val="20"/>
              </w:rPr>
              <w:t xml:space="preserve">Poids moyen</w:t>
            </w:r>
          </w:p>
        </w:tc>
        <w:tc>
          <w:tcPr/>
          <w:p>
            <w:pPr>
              <w:pStyle w:val="Compact"/>
              <w:jc w:val="center"/>
            </w:pPr>
            <w:r>
              <w:rPr>
                <w:rFonts w:ascii="Times New Roman" w:hAnsi="Times New Roman" w:eastAsia="Times New Roman"/>
                <w:sz w:val="20"/>
              </w:rPr>
              <w:t xml:space="preserve">λ</w:t>
            </w:r>
            <w:r>
              <w:rPr>
                <w:rFonts w:ascii="Times New Roman" w:hAnsi="Times New Roman" w:eastAsia="Times New Roman"/>
                <w:sz w:val="20"/>
                <w:vertAlign w:val="subscript"/>
              </w:rPr>
              <w:t xml:space="preserve">poids</w:t>
            </w:r>
          </w:p>
        </w:tc>
      </w:tr>
      <w:tr>
        <w:tc>
          <w:tcPr/>
          <w:p>
            <w:pPr>
              <w:pStyle w:val="Compact"/>
              <w:jc w:val="left"/>
            </w:pPr>
            <w:r>
              <w:rPr>
                <w:rFonts w:ascii="Times New Roman" w:hAnsi="Times New Roman" w:eastAsia="Times New Roman"/>
                <w:sz w:val="20"/>
              </w:rPr>
              <w:t xml:space="preserve">GSD</w:t>
            </w:r>
          </w:p>
        </w:tc>
        <w:tc>
          <w:tcPr/>
          <w:p>
            <w:pPr>
              <w:pStyle w:val="Compact"/>
              <w:jc w:val="center"/>
            </w:pPr>
            <w:r>
              <w:rPr>
                <w:rFonts w:ascii="Times New Roman" w:hAnsi="Times New Roman" w:eastAsia="Times New Roman"/>
                <w:sz w:val="20"/>
              </w:rPr>
              <w:t xml:space="preserve">7 733 / 8 645</w:t>
            </w:r>
          </w:p>
        </w:tc>
        <w:tc>
          <w:tcPr/>
          <w:p>
            <w:pPr>
              <w:pStyle w:val="Compact"/>
              <w:jc w:val="center"/>
            </w:pPr>
            <w:r>
              <w:rPr>
                <w:rFonts w:ascii="Times New Roman" w:hAnsi="Times New Roman" w:eastAsia="Times New Roman"/>
                <w:sz w:val="20"/>
              </w:rPr>
              <w:t xml:space="preserve">1,79 / 1,73</w:t>
            </w:r>
          </w:p>
        </w:tc>
        <w:tc>
          <w:tcPr/>
          <w:p>
            <w:pPr>
              <w:pStyle w:val="Compact"/>
              <w:jc w:val="center"/>
            </w:pPr>
            <w:r>
              <w:rPr>
                <w:rFonts w:ascii="Times New Roman" w:hAnsi="Times New Roman" w:eastAsia="Times New Roman"/>
                <w:sz w:val="20"/>
              </w:rPr>
              <w:t xml:space="preserve">2,50 / 2,59</w:t>
            </w:r>
          </w:p>
        </w:tc>
        <w:tc>
          <w:tcPr/>
          <w:p>
            <w:pPr>
              <w:pStyle w:val="Compact"/>
              <w:jc w:val="center"/>
            </w:pPr>
            <w:r>
              <w:rPr>
                <w:rFonts w:ascii="Times New Roman" w:hAnsi="Times New Roman" w:eastAsia="Times New Roman"/>
                <w:sz w:val="20"/>
              </w:rPr>
              <w:t xml:space="preserve">0,24 / 0,29</w:t>
            </w:r>
          </w:p>
        </w:tc>
        <w:tc>
          <w:tcPr/>
          <w:p>
            <w:pPr>
              <w:pStyle w:val="Compact"/>
              <w:jc w:val="center"/>
            </w:pPr>
            <w:r>
              <w:rPr>
                <w:rFonts w:ascii="Times New Roman" w:hAnsi="Times New Roman" w:eastAsia="Times New Roman"/>
                <w:sz w:val="20"/>
              </w:rPr>
              <w:t xml:space="preserve">1,27 / 1,24</w:t>
            </w:r>
          </w:p>
        </w:tc>
        <w:tc>
          <w:tcPr/>
          <w:p>
            <w:pPr>
              <w:pStyle w:val="Compact"/>
              <w:jc w:val="center"/>
            </w:pPr>
            <w:r>
              <w:rPr>
                <w:rFonts w:ascii="Times New Roman" w:hAnsi="Times New Roman" w:eastAsia="Times New Roman"/>
                <w:sz w:val="20"/>
              </w:rPr>
              <w:t xml:space="preserve">6,4 / 6,3</w:t>
            </w:r>
          </w:p>
        </w:tc>
      </w:tr>
      <w:tr>
        <w:tc>
          <w:tcPr/>
          <w:p>
            <w:pPr>
              <w:pStyle w:val="Compact"/>
              <w:jc w:val="left"/>
            </w:pPr>
            <w:r>
              <w:rPr>
                <w:rFonts w:ascii="Times New Roman" w:hAnsi="Times New Roman" w:eastAsia="Times New Roman"/>
                <w:sz w:val="20"/>
              </w:rPr>
              <w:t xml:space="preserve">Sequoia</w:t>
            </w:r>
          </w:p>
        </w:tc>
        <w:tc>
          <w:tcPr/>
          <w:p>
            <w:pPr>
              <w:pStyle w:val="Compact"/>
              <w:jc w:val="center"/>
            </w:pPr>
            <w:r>
              <w:rPr>
                <w:rFonts w:ascii="Times New Roman" w:hAnsi="Times New Roman" w:eastAsia="Times New Roman"/>
                <w:sz w:val="20"/>
              </w:rPr>
              <w:t xml:space="preserve">1 097 / 1 299</w:t>
            </w:r>
          </w:p>
        </w:tc>
        <w:tc>
          <w:tcPr/>
          <w:p>
            <w:pPr>
              <w:pStyle w:val="Compact"/>
              <w:jc w:val="center"/>
            </w:pPr>
            <w:r>
              <w:rPr>
                <w:rFonts w:ascii="Times New Roman" w:hAnsi="Times New Roman" w:eastAsia="Times New Roman"/>
                <w:sz w:val="20"/>
              </w:rPr>
              <w:t xml:space="preserve">1,81 / 1,73</w:t>
            </w:r>
          </w:p>
        </w:tc>
        <w:tc>
          <w:tcPr/>
          <w:p>
            <w:pPr>
              <w:pStyle w:val="Compact"/>
              <w:jc w:val="center"/>
            </w:pPr>
            <w:r>
              <w:rPr>
                <w:rFonts w:ascii="Times New Roman" w:hAnsi="Times New Roman" w:eastAsia="Times New Roman"/>
                <w:sz w:val="20"/>
              </w:rPr>
              <w:t xml:space="preserve">2,32 / 2,42</w:t>
            </w:r>
          </w:p>
        </w:tc>
        <w:tc>
          <w:tcPr/>
          <w:p>
            <w:pPr>
              <w:pStyle w:val="Compact"/>
              <w:jc w:val="center"/>
            </w:pPr>
            <w:r>
              <w:rPr>
                <w:rFonts w:ascii="Times New Roman" w:hAnsi="Times New Roman" w:eastAsia="Times New Roman"/>
                <w:sz w:val="20"/>
              </w:rPr>
              <w:t xml:space="preserve">0,19 / 0,26</w:t>
            </w:r>
          </w:p>
        </w:tc>
        <w:tc>
          <w:tcPr/>
          <w:p>
            <w:pPr>
              <w:pStyle w:val="Compact"/>
              <w:jc w:val="center"/>
            </w:pPr>
            <w:r>
              <w:rPr>
                <w:rFonts w:ascii="Times New Roman" w:hAnsi="Times New Roman" w:eastAsia="Times New Roman"/>
                <w:sz w:val="20"/>
              </w:rPr>
              <w:t xml:space="preserve">1,28 / 1,24</w:t>
            </w:r>
          </w:p>
        </w:tc>
        <w:tc>
          <w:tcPr/>
          <w:p>
            <w:pPr>
              <w:pStyle w:val="Compact"/>
              <w:jc w:val="center"/>
            </w:pPr>
            <w:r>
              <w:rPr>
                <w:rFonts w:ascii="Times New Roman" w:hAnsi="Times New Roman" w:eastAsia="Times New Roman"/>
                <w:sz w:val="20"/>
              </w:rPr>
              <w:t xml:space="preserve">6,4 / 6,4</w:t>
            </w:r>
          </w:p>
        </w:tc>
      </w:tr>
      <w:tr>
        <w:tc>
          <w:tcPr/>
          <w:p>
            <w:pPr>
              <w:pStyle w:val="Compact"/>
              <w:jc w:val="left"/>
            </w:pPr>
            <w:r>
              <w:rPr>
                <w:rFonts w:ascii="Times New Roman" w:hAnsi="Times New Roman" w:eastAsia="Times New Roman"/>
                <w:sz w:val="20"/>
              </w:rPr>
              <w:t xml:space="preserve">ParisStories</w:t>
            </w:r>
          </w:p>
        </w:tc>
        <w:tc>
          <w:tcPr/>
          <w:p>
            <w:pPr>
              <w:pStyle w:val="Compact"/>
              <w:jc w:val="center"/>
            </w:pPr>
            <w:r>
              <w:rPr>
                <w:rFonts w:ascii="Times New Roman" w:hAnsi="Times New Roman" w:eastAsia="Times New Roman"/>
                <w:sz w:val="20"/>
              </w:rPr>
              <w:t xml:space="preserve">989 / 858</w:t>
            </w:r>
          </w:p>
        </w:tc>
        <w:tc>
          <w:tcPr/>
          <w:p>
            <w:pPr>
              <w:pStyle w:val="Compact"/>
              <w:jc w:val="center"/>
            </w:pPr>
            <w:r>
              <w:rPr>
                <w:rFonts w:ascii="Times New Roman" w:hAnsi="Times New Roman" w:eastAsia="Times New Roman"/>
                <w:sz w:val="20"/>
              </w:rPr>
              <w:t xml:space="preserve">2,13 / 1,78</w:t>
            </w:r>
          </w:p>
        </w:tc>
        <w:tc>
          <w:tcPr/>
          <w:p>
            <w:pPr>
              <w:pStyle w:val="Compact"/>
              <w:jc w:val="center"/>
            </w:pPr>
            <w:r>
              <w:rPr>
                <w:rFonts w:ascii="Times New Roman" w:hAnsi="Times New Roman" w:eastAsia="Times New Roman"/>
                <w:sz w:val="20"/>
              </w:rPr>
              <w:t xml:space="preserve">1,61 / 2,59</w:t>
            </w:r>
          </w:p>
        </w:tc>
        <w:tc>
          <w:tcPr/>
          <w:p>
            <w:pPr>
              <w:pStyle w:val="Compact"/>
              <w:jc w:val="center"/>
            </w:pPr>
            <w:r>
              <w:rPr>
                <w:rFonts w:ascii="Times New Roman" w:hAnsi="Times New Roman" w:eastAsia="Times New Roman"/>
                <w:sz w:val="20"/>
              </w:rPr>
              <w:t xml:space="preserve">0,32 / 0,58</w:t>
            </w:r>
          </w:p>
        </w:tc>
        <w:tc>
          <w:tcPr/>
          <w:p>
            <w:pPr>
              <w:pStyle w:val="Compact"/>
              <w:jc w:val="center"/>
            </w:pPr>
            <w:r>
              <w:rPr>
                <w:rFonts w:ascii="Times New Roman" w:hAnsi="Times New Roman" w:eastAsia="Times New Roman"/>
                <w:sz w:val="20"/>
              </w:rPr>
              <w:t xml:space="preserve">1,26 / 1,20</w:t>
            </w:r>
          </w:p>
        </w:tc>
        <w:tc>
          <w:tcPr/>
          <w:p>
            <w:pPr>
              <w:pStyle w:val="Compact"/>
              <w:jc w:val="center"/>
            </w:pPr>
            <w:r>
              <w:rPr>
                <w:rFonts w:ascii="Times New Roman" w:hAnsi="Times New Roman" w:eastAsia="Times New Roman"/>
                <w:sz w:val="20"/>
              </w:rPr>
              <w:t xml:space="preserve">5,6 / 6,0</w:t>
            </w:r>
          </w:p>
        </w:tc>
      </w:tr>
      <w:tr>
        <w:tc>
          <w:tcPr/>
          <w:p>
            <w:pPr>
              <w:pStyle w:val="Compact"/>
              <w:jc w:val="left"/>
            </w:pPr>
            <w:r>
              <w:rPr>
                <w:rFonts w:ascii="Times New Roman" w:hAnsi="Times New Roman" w:eastAsia="Times New Roman"/>
                <w:sz w:val="20"/>
              </w:rPr>
              <w:t xml:space="preserve">Rhapsodie</w:t>
            </w:r>
          </w:p>
        </w:tc>
        <w:tc>
          <w:tcPr/>
          <w:p>
            <w:pPr>
              <w:pStyle w:val="Compact"/>
              <w:jc w:val="center"/>
            </w:pPr>
            <w:r>
              <w:rPr>
                <w:rFonts w:ascii="Times New Roman" w:hAnsi="Times New Roman" w:eastAsia="Times New Roman"/>
                <w:sz w:val="20"/>
              </w:rPr>
              <w:t xml:space="preserve">902 / 832</w:t>
            </w:r>
          </w:p>
        </w:tc>
        <w:tc>
          <w:tcPr/>
          <w:p>
            <w:pPr>
              <w:pStyle w:val="Compact"/>
              <w:jc w:val="center"/>
            </w:pPr>
            <w:r>
              <w:rPr>
                <w:rFonts w:ascii="Times New Roman" w:hAnsi="Times New Roman" w:eastAsia="Times New Roman"/>
                <w:sz w:val="20"/>
              </w:rPr>
              <w:t xml:space="preserve">1,96 / 1,78</w:t>
            </w:r>
          </w:p>
        </w:tc>
        <w:tc>
          <w:tcPr/>
          <w:p>
            <w:pPr>
              <w:pStyle w:val="Compact"/>
              <w:jc w:val="center"/>
            </w:pPr>
            <w:r>
              <w:rPr>
                <w:rFonts w:ascii="Times New Roman" w:hAnsi="Times New Roman" w:eastAsia="Times New Roman"/>
                <w:sz w:val="20"/>
              </w:rPr>
              <w:t xml:space="preserve">1,84 / 2,39</w:t>
            </w:r>
          </w:p>
        </w:tc>
        <w:tc>
          <w:tcPr/>
          <w:p>
            <w:pPr>
              <w:pStyle w:val="Compact"/>
              <w:jc w:val="center"/>
            </w:pPr>
            <w:r>
              <w:rPr>
                <w:rFonts w:ascii="Times New Roman" w:hAnsi="Times New Roman" w:eastAsia="Times New Roman"/>
                <w:sz w:val="20"/>
              </w:rPr>
              <w:t xml:space="preserve">0,30 / 0,44</w:t>
            </w:r>
          </w:p>
        </w:tc>
        <w:tc>
          <w:tcPr/>
          <w:p>
            <w:pPr>
              <w:pStyle w:val="Compact"/>
              <w:jc w:val="center"/>
            </w:pPr>
            <w:r>
              <w:rPr>
                <w:rFonts w:ascii="Times New Roman" w:hAnsi="Times New Roman" w:eastAsia="Times New Roman"/>
                <w:sz w:val="20"/>
              </w:rPr>
              <w:t xml:space="preserve">1,26 / 1,23</w:t>
            </w:r>
          </w:p>
        </w:tc>
        <w:tc>
          <w:tcPr/>
          <w:p>
            <w:pPr>
              <w:pStyle w:val="Compact"/>
              <w:jc w:val="center"/>
            </w:pPr>
            <w:r>
              <w:rPr>
                <w:rFonts w:ascii="Times New Roman" w:hAnsi="Times New Roman" w:eastAsia="Times New Roman"/>
                <w:sz w:val="20"/>
              </w:rPr>
              <w:t xml:space="preserve">5,7 / 5,2</w:t>
            </w:r>
          </w:p>
        </w:tc>
      </w:tr>
      <w:tr>
        <w:tc>
          <w:tcPr/>
          <w:p>
            <w:pPr>
              <w:pStyle w:val="Compact"/>
              <w:jc w:val="left"/>
            </w:pPr>
            <w:r>
              <w:rPr>
                <w:rFonts w:ascii="Times New Roman" w:hAnsi="Times New Roman" w:eastAsia="Times New Roman"/>
                <w:sz w:val="20"/>
              </w:rPr>
              <w:t xml:space="preserve">CEFC-gold</w:t>
            </w:r>
          </w:p>
        </w:tc>
        <w:tc>
          <w:tcPr/>
          <w:p>
            <w:pPr>
              <w:pStyle w:val="Compact"/>
              <w:jc w:val="center"/>
            </w:pPr>
            <w:r>
              <w:rPr>
                <w:rFonts w:ascii="Times New Roman" w:hAnsi="Times New Roman" w:eastAsia="Times New Roman"/>
                <w:sz w:val="20"/>
              </w:rPr>
              <w:t xml:space="preserve">4 599 / 3 547</w:t>
            </w:r>
          </w:p>
        </w:tc>
        <w:tc>
          <w:tcPr/>
          <w:p>
            <w:pPr>
              <w:pStyle w:val="Compact"/>
              <w:jc w:val="center"/>
            </w:pPr>
            <w:r>
              <w:rPr>
                <w:rFonts w:ascii="Times New Roman" w:hAnsi="Times New Roman" w:eastAsia="Times New Roman"/>
                <w:sz w:val="20"/>
              </w:rPr>
              <w:t xml:space="preserve">1,97 / 1,76</w:t>
            </w:r>
          </w:p>
        </w:tc>
        <w:tc>
          <w:tcPr/>
          <w:p>
            <w:pPr>
              <w:pStyle w:val="Compact"/>
              <w:jc w:val="center"/>
            </w:pPr>
            <w:r>
              <w:rPr>
                <w:rFonts w:ascii="Times New Roman" w:hAnsi="Times New Roman" w:eastAsia="Times New Roman"/>
                <w:sz w:val="20"/>
              </w:rPr>
              <w:t xml:space="preserve">1,68 / 2,15</w:t>
            </w:r>
          </w:p>
        </w:tc>
        <w:tc>
          <w:tcPr/>
          <w:p>
            <w:pPr>
              <w:pStyle w:val="Compact"/>
              <w:jc w:val="center"/>
            </w:pPr>
            <w:r>
              <w:rPr>
                <w:rFonts w:ascii="Times New Roman" w:hAnsi="Times New Roman" w:eastAsia="Times New Roman"/>
                <w:sz w:val="20"/>
              </w:rPr>
              <w:t xml:space="preserve">0,35 / 0,65</w:t>
            </w:r>
          </w:p>
        </w:tc>
        <w:tc>
          <w:tcPr/>
          <w:p>
            <w:pPr>
              <w:pStyle w:val="Compact"/>
              <w:jc w:val="center"/>
            </w:pPr>
            <w:r>
              <w:rPr>
                <w:rFonts w:ascii="Times New Roman" w:hAnsi="Times New Roman" w:eastAsia="Times New Roman"/>
                <w:sz w:val="20"/>
              </w:rPr>
              <w:t xml:space="preserve">1,21 / 1,15</w:t>
            </w:r>
          </w:p>
        </w:tc>
        <w:tc>
          <w:tcPr/>
          <w:p>
            <w:pPr>
              <w:pStyle w:val="Compact"/>
              <w:jc w:val="center"/>
            </w:pPr>
            <w:r>
              <w:rPr>
                <w:rFonts w:ascii="Times New Roman" w:hAnsi="Times New Roman" w:eastAsia="Times New Roman"/>
                <w:sz w:val="20"/>
              </w:rPr>
              <w:t xml:space="preserve">6,4 / 6,4</w:t>
            </w:r>
          </w:p>
        </w:tc>
      </w:tr>
    </w:tbl>
    <w:p>
      <w:pPr>
        <w:pStyle w:val="CaptionedFigure"/>
        <w:jc w:val="center"/>
      </w:pPr>
      <w:r>
        <w:drawing>
          <wp:inline>
            <wp:extent cx="5399999" cy="2228571"/>
            <wp:effectExtent b="0" l="0" r="0" t="0"/>
            <wp:docPr descr="Figure 6 : Distribution de la taille du flux dans les unités de 10 à 19 mots (SUD), avec toutes les relations et pour la microsyntaxe seule. Échelle logarithmique en ordonnée ; courbes : lois de puissance tronquées ajustées." title="" id="52" name="Picture"/>
            <a:graphic>
              <a:graphicData uri="http://schemas.openxmlformats.org/drawingml/2006/picture">
                <pic:pic>
                  <pic:nvPicPr>
                    <pic:cNvPr descr="fig/fig_flux_dist.png" id="53" name="Picture"/>
                    <pic:cNvPicPr>
                      <a:picLocks noChangeArrowheads="1" noChangeAspect="1"/>
                    </pic:cNvPicPr>
                  </pic:nvPicPr>
                  <pic:blipFill>
                    <a:blip r:embed="rId51"/>
                    <a:stretch>
                      <a:fillRect/>
                    </a:stretch>
                  </pic:blipFill>
                  <pic:spPr bwMode="auto">
                    <a:xfrm>
                      <a:off x="0" y="0"/>
                      <a:ext cx="5399999" cy="2228571"/>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2"/>
        </w:rPr>
        <w:t xml:space="preserve">Figure 6 : Distribution de la taille du flux dans les unités de 10 à 19 mots (SUD), avec toutes les relations et pour la microsyntaxe seule. Échelle logarithmique en ordonnée ; courbes : lois de puissance tronquées ajustées.</w:t>
      </w:r>
    </w:p>
    <w:p>
      <w:pPr>
        <w:pStyle w:val="BodyText"/>
        <w:jc w:val="both"/>
      </w:pPr>
      <w:r>
        <w:rPr>
          <w:rFonts w:ascii="Times New Roman" w:hAnsi="Times New Roman" w:eastAsia="Times New Roman"/>
          <w:sz w:val="24"/>
        </w:rPr>
        <w:t xml:space="preserve">La longueur des dépendances donne une image différente. Comme la taille moyenne du flux est égale à la longueur moyenne des dépendances, l’oral a aussi des dépendances un peu plus longues en moyenne ; mais leur distribution sature plus vite (λ</w:t>
      </w:r>
      <w:r>
        <w:rPr>
          <w:rFonts w:ascii="Times New Roman" w:hAnsi="Times New Roman" w:eastAsia="Times New Roman"/>
          <w:sz w:val="24"/>
          <w:vertAlign w:val="subscript"/>
        </w:rPr>
        <w:t xml:space="preserve">longueur</w:t>
      </w:r>
      <w:r>
        <w:rPr>
          <w:rFonts w:ascii="Times New Roman" w:hAnsi="Times New Roman" w:eastAsia="Times New Roman"/>
          <w:sz w:val="24"/>
        </w:rPr>
        <w:t xml:space="preserve"> </w:t>
      </w:r>
      <w:r>
        <w:rPr>
          <w:rFonts w:ascii="Times New Roman" w:hAnsi="Times New Roman" w:eastAsia="Times New Roman"/>
          <w:sz w:val="24"/>
        </w:rPr>
        <w:t xml:space="preserve">de 0,30 à 0,35 à l’oral contre 0,19 et 0,24 à l’écrit, toutes relations comprises) : l’oral a plus de dépendances de longueur moyenne et moins de dépendances très longues. La longueur des dépendances et le flux ne disent donc pas la même chose : selon la première mesure, l’oral serait plutôt plus simple que l’écrit (moins de longues dépendances) ; selon la seconde, il est plus complexe (plus de dépendances simultanées), et la décomposition en microsyntaxe et macrosyntaxe montre d’où vient ce surplus.</w:t>
      </w:r>
    </w:p>
    <w:bookmarkEnd w:id="54"/>
    <w:bookmarkStart w:id="59" w:name="le-poids-du-flux"/>
    <w:p>
      <w:pPr>
        <w:pStyle w:val="Heading1"/>
      </w:pPr>
      <w:r>
        <w:rPr>
          <w:rFonts w:ascii="Times New Roman" w:hAnsi="Times New Roman" w:eastAsia="Times New Roman"/>
          <w:b/>
          <w:sz w:val="24"/>
        </w:rPr>
        <w:t xml:space="preserve">4.2. Le poids du flux</w:t>
      </w:r>
    </w:p>
    <w:p>
      <w:pPr>
        <w:pStyle w:val="BodyText"/>
        <w:jc w:val="both"/>
      </w:pPr>
      <w:r>
        <w:rPr>
          <w:rFonts w:ascii="Times New Roman" w:hAnsi="Times New Roman" w:eastAsia="Times New Roman"/>
          <w:sz w:val="24"/>
        </w:rPr>
        <w:t xml:space="preserve">Le poids moyen du flux est pratiquement le même dans les cinq corpus (de 1,21 à 1,28 pour 10 à 19 mots), et il est même un peu plus faible à l’oral pour la microsyntaxe seule. L’indice de saturation du poids est plus faible dans ParisStories et Rhapsodie avec toutes les relations ; pour la microsyntaxe seule, il rejoint celui de l’écrit pour ParisStories mais pas pour Rhapsodie, où les segments détachés, courts et peu enchâssés, semblent avoir emporté une partie des poids élevés. Dans la vue limitée aux mots pleins (ContentUD), qui neutralise les différences de mots fonctionnels, la distribution du poids est quasiment identique dans les quatre corpus pour lesquels elle est disponible (figure 7) : pour les unités de 10 à 19 mots, 84 à 85 % des positions ont un poids 1, 15 à 16 % un poids 2 et au plus 0,6 % un poids 3 ; la plus grande distance de variation totale entre deux corpus est de 0,010, ce qui est l’ordre de grandeur de ce que produit le seul échantillonnage. Elle reste faible pour 10 à 29 mots (0,029) et augmente pour l’ensemble des unités d’au moins 10 mots (0,075), où pèsent les longues phrases de l’écrit.</w:t>
      </w:r>
    </w:p>
    <w:p>
      <w:pPr>
        <w:pStyle w:val="CaptionedFigure"/>
        <w:jc w:val="center"/>
      </w:pPr>
      <w:r>
        <w:drawing>
          <wp:inline>
            <wp:extent cx="5759999" cy="2377142"/>
            <wp:effectExtent b="0" l="0" r="0" t="0"/>
            <wp:docPr descr="Figure 7 : Distribution du poids du flux dans les unités de 10 à 19 mots, en SUD (à gauche) et dans la vue limitée aux mots pleins (ContentUD, à droite)." title="" id="56" name="Picture"/>
            <a:graphic>
              <a:graphicData uri="http://schemas.openxmlformats.org/drawingml/2006/picture">
                <pic:pic>
                  <pic:nvPicPr>
                    <pic:cNvPr descr="fig/fig3_poids.png" id="57" name="Picture"/>
                    <pic:cNvPicPr>
                      <a:picLocks noChangeArrowheads="1" noChangeAspect="1"/>
                    </pic:cNvPicPr>
                  </pic:nvPicPr>
                  <pic:blipFill>
                    <a:blip r:embed="rId55"/>
                    <a:stretch>
                      <a:fillRect/>
                    </a:stretch>
                  </pic:blipFill>
                  <pic:spPr bwMode="auto">
                    <a:xfrm>
                      <a:off x="0" y="0"/>
                      <a:ext cx="5759999" cy="2377142"/>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2"/>
        </w:rPr>
        <w:t xml:space="preserve">Figure 7 : Distribution du poids du flux dans les unités de 10 à 19 mots, en SUD (à gauche) et dans la vue limitée aux mots pleins (ContentUD, à droite).</w:t>
      </w:r>
    </w:p>
    <w:p>
      <w:pPr>
        <w:pStyle w:val="BodyText"/>
        <w:jc w:val="both"/>
      </w:pPr>
      <w:r>
        <w:rPr>
          <w:rFonts w:ascii="Times New Roman" w:hAnsi="Times New Roman" w:eastAsia="Times New Roman"/>
          <w:sz w:val="24"/>
        </w:rPr>
        <w:t xml:space="preserve">Le poids maximal atteint dans une unité est remarquablement bas. Sur toutes les unités illocutoires, en SUD avec toutes les relations, il ne dépasse jamais 5, et un poids de 4 n’est atteint que dans 0,6 à 1,7 % des unités de GSD, Sequoia, ParisStories et Rhapsodie et dans 0,2 % de celles de CEFC-gold.</w:t>
      </w:r>
      <w:r>
        <w:rPr>
          <w:rStyle w:val="FootnoteReference"/>
          <w:rFonts w:ascii="Times New Roman" w:hAnsi="Times New Roman" w:eastAsia="Times New Roman"/>
          <w:sz w:val="24"/>
        </w:rPr>
        <w:footnoteReference w:id="58"/>
      </w:r>
      <w:r>
        <w:rPr>
          <w:rFonts w:ascii="Times New Roman" w:hAnsi="Times New Roman" w:eastAsia="Times New Roman"/>
          <w:sz w:val="24"/>
        </w:rPr>
        <w:t xml:space="preserve"> </w:t>
      </w:r>
      <w:r>
        <w:rPr>
          <w:rFonts w:ascii="Times New Roman" w:hAnsi="Times New Roman" w:eastAsia="Times New Roman"/>
          <w:sz w:val="24"/>
        </w:rPr>
        <w:t xml:space="preserve">La limitation de l’enchâssement central est la même à l’oral et à l’écrit.</w:t>
      </w:r>
    </w:p>
    <w:bookmarkEnd w:id="59"/>
    <w:bookmarkStart w:id="67" w:name="de-quoi-le-flux-est-il-fait"/>
    <w:p>
      <w:pPr>
        <w:pStyle w:val="Heading1"/>
      </w:pPr>
      <w:r>
        <w:rPr>
          <w:rFonts w:ascii="Times New Roman" w:hAnsi="Times New Roman" w:eastAsia="Times New Roman"/>
          <w:b/>
          <w:sz w:val="24"/>
        </w:rPr>
        <w:t xml:space="preserve">4.3. De quoi le flux est-il fait ?</w:t>
      </w:r>
    </w:p>
    <w:p>
      <w:pPr>
        <w:pStyle w:val="BodyText"/>
        <w:jc w:val="both"/>
      </w:pPr>
      <w:r>
        <w:rPr>
          <w:rFonts w:ascii="Times New Roman" w:hAnsi="Times New Roman" w:eastAsia="Times New Roman"/>
          <w:sz w:val="24"/>
        </w:rPr>
        <w:t xml:space="preserve">Les mesures précédentes ne disent pas de quelles dépendances le flux est composé, ni surtout si des dépendances</w:t>
      </w:r>
      <w:r>
        <w:rPr>
          <w:rFonts w:ascii="Times New Roman" w:hAnsi="Times New Roman" w:eastAsia="Times New Roman"/>
          <w:sz w:val="24"/>
        </w:rPr>
        <w:t xml:space="preserve"> </w:t>
      </w:r>
      <w:r>
        <w:rPr>
          <w:iCs/>
          <w:rFonts w:ascii="Times New Roman" w:hAnsi="Times New Roman" w:eastAsia="Times New Roman"/>
          <w:i/>
          <w:sz w:val="24"/>
        </w:rPr>
        <w:t xml:space="preserve">disjointes de même nature</w:t>
      </w:r>
      <w:r>
        <w:rPr>
          <w:rFonts w:ascii="Times New Roman" w:hAnsi="Times New Roman" w:eastAsia="Times New Roman"/>
          <w:sz w:val="24"/>
        </w:rPr>
        <w:t xml:space="preserve"> </w:t>
      </w:r>
      <w:r>
        <w:rPr>
          <w:rFonts w:ascii="Times New Roman" w:hAnsi="Times New Roman" w:eastAsia="Times New Roman"/>
          <w:sz w:val="24"/>
        </w:rPr>
        <w:t xml:space="preserve">y sont maintenues ensemble : ce sont elles qui posent le plus de problèmes quand il faut les traiter simultanément, comme les trois sujets en attente de la phrase (2). Nous examinons donc la composition des flux, à partir des matrices de la section 2.3, dans les unités de 10 à 19 mots et avec toutes les relations.</w:t>
      </w:r>
    </w:p>
    <w:p>
      <w:pPr>
        <w:pStyle w:val="BodyText"/>
        <w:jc w:val="both"/>
      </w:pPr>
      <w:r>
        <w:rPr>
          <w:rFonts w:ascii="Times New Roman" w:hAnsi="Times New Roman" w:eastAsia="Times New Roman"/>
          <w:sz w:val="24"/>
        </w:rPr>
        <w:t xml:space="preserve">Une dépendance est dite interne à un groupe nominal si son gouverneur est un nom ou un pronom, ou est dominé par un nom sans passer par un verbe, ce qui revient essentiellement à exclure les relatives. À l’écrit, 0,73 (GSD) et 0,77 (Sequoia) dépendances par position sont internes à un groupe nominal, soit plus de 40 % du flux ; à l’oral, 0,31 (ParisStories), 0,46 (Rhapsodie) et 0,37 (CEFC-gold), soit 15 à 24 % du flux. Les relations macrosyntaxiques, modifieurs antéposés compris, représentent au contraire 0,34 à 0,55 dépendance par position à l’oral et 0,12 à 0,14 à l’écrit (figure 8). La figure 9 montre un énoncé de ParisStories où les marqueurs de discours</w:t>
      </w:r>
      <w:r>
        <w:rPr>
          <w:rFonts w:ascii="Times New Roman" w:hAnsi="Times New Roman" w:eastAsia="Times New Roman"/>
          <w:sz w:val="24"/>
        </w:rPr>
        <w:t xml:space="preserve"> </w:t>
      </w:r>
      <w:r>
        <w:rPr>
          <w:iCs/>
          <w:rFonts w:ascii="Times New Roman" w:hAnsi="Times New Roman" w:eastAsia="Times New Roman"/>
          <w:i/>
          <w:sz w:val="24"/>
        </w:rPr>
        <w:t xml:space="preserve">euh</w:t>
      </w:r>
      <w:r>
        <w:rPr>
          <w:rFonts w:ascii="Times New Roman" w:hAnsi="Times New Roman" w:eastAsia="Times New Roman"/>
          <w:sz w:val="24"/>
        </w:rPr>
        <w:t xml:space="preserve">,</w:t>
      </w:r>
      <w:r>
        <w:rPr>
          <w:rFonts w:ascii="Times New Roman" w:hAnsi="Times New Roman" w:eastAsia="Times New Roman"/>
          <w:sz w:val="24"/>
        </w:rPr>
        <w:t xml:space="preserve"> </w:t>
      </w:r>
      <w:r>
        <w:rPr>
          <w:iCs/>
          <w:rFonts w:ascii="Times New Roman" w:hAnsi="Times New Roman" w:eastAsia="Times New Roman"/>
          <w:i/>
          <w:sz w:val="24"/>
        </w:rPr>
        <w:t xml:space="preserve">bon</w:t>
      </w:r>
      <w:r>
        <w:rPr>
          <w:rFonts w:ascii="Times New Roman" w:hAnsi="Times New Roman" w:eastAsia="Times New Roman"/>
          <w:sz w:val="24"/>
        </w:rPr>
        <w:t xml:space="preserve"> </w:t>
      </w:r>
      <w:r>
        <w:rPr>
          <w:rFonts w:ascii="Times New Roman" w:hAnsi="Times New Roman" w:eastAsia="Times New Roman"/>
          <w:sz w:val="24"/>
        </w:rPr>
        <w:t xml:space="preserve">et</w:t>
      </w:r>
      <w:r>
        <w:rPr>
          <w:rFonts w:ascii="Times New Roman" w:hAnsi="Times New Roman" w:eastAsia="Times New Roman"/>
          <w:sz w:val="24"/>
        </w:rPr>
        <w:t xml:space="preserve"> </w:t>
      </w:r>
      <w:r>
        <w:rPr>
          <w:iCs/>
          <w:rFonts w:ascii="Times New Roman" w:hAnsi="Times New Roman" w:eastAsia="Times New Roman"/>
          <w:i/>
          <w:sz w:val="24"/>
        </w:rPr>
        <w:t xml:space="preserve">bah</w:t>
      </w:r>
      <w:r>
        <w:rPr>
          <w:rFonts w:ascii="Times New Roman" w:hAnsi="Times New Roman" w:eastAsia="Times New Roman"/>
          <w:sz w:val="24"/>
        </w:rPr>
        <w:t xml:space="preserve">, le sujet disloqué</w:t>
      </w:r>
      <w:r>
        <w:rPr>
          <w:rFonts w:ascii="Times New Roman" w:hAnsi="Times New Roman" w:eastAsia="Times New Roman"/>
          <w:sz w:val="24"/>
        </w:rPr>
        <w:t xml:space="preserve"> </w:t>
      </w:r>
      <w:r>
        <w:rPr>
          <w:iCs/>
          <w:rFonts w:ascii="Times New Roman" w:hAnsi="Times New Roman" w:eastAsia="Times New Roman"/>
          <w:i/>
          <w:sz w:val="24"/>
        </w:rPr>
        <w:t xml:space="preserve">moi</w:t>
      </w:r>
      <w:r>
        <w:rPr>
          <w:rFonts w:ascii="Times New Roman" w:hAnsi="Times New Roman" w:eastAsia="Times New Roman"/>
          <w:sz w:val="24"/>
        </w:rPr>
        <w:t xml:space="preserve"> </w:t>
      </w:r>
      <w:r>
        <w:rPr>
          <w:rFonts w:ascii="Times New Roman" w:hAnsi="Times New Roman" w:eastAsia="Times New Roman"/>
          <w:sz w:val="24"/>
        </w:rPr>
        <w:t xml:space="preserve">et le modifieur antéposé</w:t>
      </w:r>
      <w:r>
        <w:rPr>
          <w:rFonts w:ascii="Times New Roman" w:hAnsi="Times New Roman" w:eastAsia="Times New Roman"/>
          <w:sz w:val="24"/>
        </w:rPr>
        <w:t xml:space="preserve"> </w:t>
      </w:r>
      <w:r>
        <w:rPr>
          <w:iCs/>
          <w:rFonts w:ascii="Times New Roman" w:hAnsi="Times New Roman" w:eastAsia="Times New Roman"/>
          <w:i/>
          <w:sz w:val="24"/>
        </w:rPr>
        <w:t xml:space="preserve">parfois</w:t>
      </w:r>
      <w:r>
        <w:rPr>
          <w:rFonts w:ascii="Times New Roman" w:hAnsi="Times New Roman" w:eastAsia="Times New Roman"/>
          <w:sz w:val="24"/>
        </w:rPr>
        <w:t xml:space="preserve"> </w:t>
      </w:r>
      <w:r>
        <w:rPr>
          <w:rFonts w:ascii="Times New Roman" w:hAnsi="Times New Roman" w:eastAsia="Times New Roman"/>
          <w:sz w:val="24"/>
        </w:rPr>
        <w:t xml:space="preserve">sont rattachés au verbe</w:t>
      </w:r>
      <w:r>
        <w:rPr>
          <w:rFonts w:ascii="Times New Roman" w:hAnsi="Times New Roman" w:eastAsia="Times New Roman"/>
          <w:sz w:val="24"/>
        </w:rPr>
        <w:t xml:space="preserve"> </w:t>
      </w:r>
      <w:r>
        <w:rPr>
          <w:iCs/>
          <w:rFonts w:ascii="Times New Roman" w:hAnsi="Times New Roman" w:eastAsia="Times New Roman"/>
          <w:i/>
          <w:sz w:val="24"/>
        </w:rPr>
        <w:t xml:space="preserve">fais</w:t>
      </w:r>
      <w:r>
        <w:rPr>
          <w:rFonts w:ascii="Times New Roman" w:hAnsi="Times New Roman" w:eastAsia="Times New Roman"/>
          <w:sz w:val="24"/>
        </w:rPr>
        <w:t xml:space="preserve"> </w:t>
      </w:r>
      <w:r>
        <w:rPr>
          <w:rFonts w:ascii="Times New Roman" w:hAnsi="Times New Roman" w:eastAsia="Times New Roman"/>
          <w:sz w:val="24"/>
        </w:rPr>
        <w:t xml:space="preserve">et</w:t>
      </w:r>
      <w:r>
        <w:rPr>
          <w:rFonts w:ascii="Times New Roman" w:hAnsi="Times New Roman" w:eastAsia="Times New Roman"/>
          <w:sz w:val="24"/>
        </w:rPr>
        <w:t xml:space="preserve"> </w:t>
      </w:r>
      <w:r>
        <w:rPr>
          <w:iCs/>
          <w:rFonts w:ascii="Times New Roman" w:hAnsi="Times New Roman" w:eastAsia="Times New Roman"/>
          <w:i/>
          <w:sz w:val="24"/>
        </w:rPr>
        <w:t xml:space="preserve">hein</w:t>
      </w:r>
      <w:r>
        <w:rPr>
          <w:rFonts w:ascii="Times New Roman" w:hAnsi="Times New Roman" w:eastAsia="Times New Roman"/>
          <w:sz w:val="24"/>
        </w:rPr>
        <w:t xml:space="preserve"> </w:t>
      </w:r>
      <w:r>
        <w:rPr>
          <w:rFonts w:ascii="Times New Roman" w:hAnsi="Times New Roman" w:eastAsia="Times New Roman"/>
          <w:sz w:val="24"/>
        </w:rPr>
        <w:t xml:space="preserve">au verbe principal</w:t>
      </w:r>
      <w:r>
        <w:rPr>
          <w:rFonts w:ascii="Times New Roman" w:hAnsi="Times New Roman" w:eastAsia="Times New Roman"/>
          <w:sz w:val="24"/>
        </w:rPr>
        <w:t xml:space="preserve"> </w:t>
      </w:r>
      <w:r>
        <w:rPr>
          <w:iCs/>
          <w:rFonts w:ascii="Times New Roman" w:hAnsi="Times New Roman" w:eastAsia="Times New Roman"/>
          <w:i/>
          <w:sz w:val="24"/>
        </w:rPr>
        <w:t xml:space="preserve">sais</w:t>
      </w:r>
      <w:r>
        <w:rPr>
          <w:rFonts w:ascii="Times New Roman" w:hAnsi="Times New Roman" w:eastAsia="Times New Roman"/>
          <w:sz w:val="24"/>
        </w:rPr>
        <w:t xml:space="preserve"> : ils forment des bouquets qui font monter la taille du flux jusqu’à 8, alors que le flux microsyntaxique ne dépasse pas 3.</w:t>
      </w:r>
    </w:p>
    <w:p>
      <w:pPr>
        <w:pStyle w:val="CaptionedFigure"/>
        <w:jc w:val="center"/>
      </w:pPr>
      <w:r>
        <w:drawing>
          <wp:inline>
            <wp:extent cx="5039999" cy="2183999"/>
            <wp:effectExtent b="0" l="0" r="0" t="0"/>
            <wp:docPr descr="Figure 8 : Décomposition de la taille moyenne du flux (unités de 10 à 19 mots, SUD) : dépendances internes à un groupe nominal, autres dépendances microsyntaxiques, reprises et dépendances macrosyntaxiques (modifieurs antéposés compris)." title="" id="61" name="Picture"/>
            <a:graphic>
              <a:graphicData uri="http://schemas.openxmlformats.org/drawingml/2006/picture">
                <pic:pic>
                  <pic:nvPicPr>
                    <pic:cNvPr descr="fig/fig4_decomposition.png" id="62" name="Picture"/>
                    <pic:cNvPicPr>
                      <a:picLocks noChangeArrowheads="1" noChangeAspect="1"/>
                    </pic:cNvPicPr>
                  </pic:nvPicPr>
                  <pic:blipFill>
                    <a:blip r:embed="rId60"/>
                    <a:stretch>
                      <a:fillRect/>
                    </a:stretch>
                  </pic:blipFill>
                  <pic:spPr bwMode="auto">
                    <a:xfrm>
                      <a:off x="0" y="0"/>
                      <a:ext cx="5039999" cy="2183999"/>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2"/>
        </w:rPr>
        <w:t xml:space="preserve">Figure 8 : Décomposition de la taille moyenne du flux (unités de 10 à 19 mots, SUD) : dépendances internes à un groupe nominal, autres dépendances microsyntaxiques, reprises et dépendances macrosyntaxiques (modifieurs antéposés compris).</w:t>
      </w:r>
    </w:p>
    <w:p>
      <w:pPr>
        <w:pStyle w:val="CaptionedFigure"/>
        <w:jc w:val="center"/>
      </w:pPr>
      <w:r>
        <w:drawing>
          <wp:inline>
            <wp:extent cx="5759999" cy="2559999"/>
            <wp:effectExtent b="0" l="0" r="0" t="0"/>
            <wp:docPr descr="Figure 9 : Un énoncé de ParisStories (SUD, sans ponctuation). Sous l’arbre : taille du flux en chaque position avec toutes les relations (flux) et, aux positions dont la voûte est microsyntaxique, le flux de la microsyntaxe seule (micro)." title="" id="64" name="Picture"/>
            <a:graphic>
              <a:graphicData uri="http://schemas.openxmlformats.org/drawingml/2006/picture">
                <pic:pic>
                  <pic:nvPicPr>
                    <pic:cNvPr descr="fig/fig_macro.png" id="65" name="Picture"/>
                    <pic:cNvPicPr>
                      <a:picLocks noChangeArrowheads="1" noChangeAspect="1"/>
                    </pic:cNvPicPr>
                  </pic:nvPicPr>
                  <pic:blipFill>
                    <a:blip r:embed="rId63"/>
                    <a:stretch>
                      <a:fillRect/>
                    </a:stretch>
                  </pic:blipFill>
                  <pic:spPr bwMode="auto">
                    <a:xfrm>
                      <a:off x="0" y="0"/>
                      <a:ext cx="5759999" cy="2559999"/>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2"/>
        </w:rPr>
        <w:t xml:space="preserve">Figure 9 : Un énoncé de ParisStories (SUD, sans ponctuation). Sous l’arbre : taille du flux en chaque position avec toutes les relations (flux) et, aux positions dont la voûte est microsyntaxique, le flux de la microsyntaxe seule (micro).</w:t>
      </w:r>
    </w:p>
    <w:p>
      <w:pPr>
        <w:pStyle w:val="BodyText"/>
        <w:jc w:val="both"/>
      </w:pPr>
      <w:r>
        <w:rPr>
          <w:rFonts w:ascii="Times New Roman" w:hAnsi="Times New Roman" w:eastAsia="Times New Roman"/>
          <w:sz w:val="24"/>
        </w:rPr>
        <w:t xml:space="preserve">Les configurations de dépendances disjointes diffèrent aussi. Nous les relevons dans la vue limitée aux mots pleins, où les dépendances internes aux groupes ne comptent plus, en chaque position et selon la catégorie des deux gouverneurs. En (4), tirée de GSD, après</w:t>
      </w:r>
      <w:r>
        <w:rPr>
          <w:rFonts w:ascii="Times New Roman" w:hAnsi="Times New Roman" w:eastAsia="Times New Roman"/>
          <w:sz w:val="24"/>
        </w:rPr>
        <w:t xml:space="preserve"> </w:t>
      </w:r>
      <w:r>
        <w:rPr>
          <w:iCs/>
          <w:rFonts w:ascii="Times New Roman" w:hAnsi="Times New Roman" w:eastAsia="Times New Roman"/>
          <w:i/>
          <w:sz w:val="24"/>
        </w:rPr>
        <w:t xml:space="preserve">grande</w:t>
      </w:r>
      <w:r>
        <w:rPr>
          <w:rFonts w:ascii="Times New Roman" w:hAnsi="Times New Roman" w:eastAsia="Times New Roman"/>
          <w:sz w:val="24"/>
        </w:rPr>
        <w:t xml:space="preserve">, le nom</w:t>
      </w:r>
      <w:r>
        <w:rPr>
          <w:rFonts w:ascii="Times New Roman" w:hAnsi="Times New Roman" w:eastAsia="Times New Roman"/>
          <w:sz w:val="24"/>
        </w:rPr>
        <w:t xml:space="preserve"> </w:t>
      </w:r>
      <w:r>
        <w:rPr>
          <w:iCs/>
          <w:rFonts w:ascii="Times New Roman" w:hAnsi="Times New Roman" w:eastAsia="Times New Roman"/>
          <w:i/>
          <w:sz w:val="24"/>
        </w:rPr>
        <w:t xml:space="preserve">qualité</w:t>
      </w:r>
      <w:r>
        <w:rPr>
          <w:rFonts w:ascii="Times New Roman" w:hAnsi="Times New Roman" w:eastAsia="Times New Roman"/>
          <w:sz w:val="24"/>
        </w:rPr>
        <w:t xml:space="preserve"> </w:t>
      </w:r>
      <w:r>
        <w:rPr>
          <w:rFonts w:ascii="Times New Roman" w:hAnsi="Times New Roman" w:eastAsia="Times New Roman"/>
          <w:sz w:val="24"/>
        </w:rPr>
        <w:t xml:space="preserve">est attendu par son adjectif et le nom</w:t>
      </w:r>
      <w:r>
        <w:rPr>
          <w:rFonts w:ascii="Times New Roman" w:hAnsi="Times New Roman" w:eastAsia="Times New Roman"/>
          <w:sz w:val="24"/>
        </w:rPr>
        <w:t xml:space="preserve"> </w:t>
      </w:r>
      <w:r>
        <w:rPr>
          <w:iCs/>
          <w:rFonts w:ascii="Times New Roman" w:hAnsi="Times New Roman" w:eastAsia="Times New Roman"/>
          <w:i/>
          <w:sz w:val="24"/>
        </w:rPr>
        <w:t xml:space="preserve">Travail</w:t>
      </w:r>
      <w:r>
        <w:rPr>
          <w:rFonts w:ascii="Times New Roman" w:hAnsi="Times New Roman" w:eastAsia="Times New Roman"/>
          <w:sz w:val="24"/>
        </w:rPr>
        <w:t xml:space="preserve"> </w:t>
      </w:r>
      <w:r>
        <w:rPr>
          <w:rFonts w:ascii="Times New Roman" w:hAnsi="Times New Roman" w:eastAsia="Times New Roman"/>
          <w:sz w:val="24"/>
        </w:rPr>
        <w:t xml:space="preserve">attend son participe</w:t>
      </w:r>
      <w:r>
        <w:rPr>
          <w:rFonts w:ascii="Times New Roman" w:hAnsi="Times New Roman" w:eastAsia="Times New Roman"/>
          <w:sz w:val="24"/>
        </w:rPr>
        <w:t xml:space="preserve"> </w:t>
      </w:r>
      <w:r>
        <w:rPr>
          <w:iCs/>
          <w:rFonts w:ascii="Times New Roman" w:hAnsi="Times New Roman" w:eastAsia="Times New Roman"/>
          <w:i/>
          <w:sz w:val="24"/>
        </w:rPr>
        <w:t xml:space="preserve">exécuté</w:t>
      </w:r>
      <w:r>
        <w:rPr>
          <w:rFonts w:ascii="Times New Roman" w:hAnsi="Times New Roman" w:eastAsia="Times New Roman"/>
          <w:sz w:val="24"/>
        </w:rPr>
        <w:t xml:space="preserve"> ; en (5), tirée de Rhapsodie, après</w:t>
      </w:r>
      <w:r>
        <w:rPr>
          <w:rFonts w:ascii="Times New Roman" w:hAnsi="Times New Roman" w:eastAsia="Times New Roman"/>
          <w:sz w:val="24"/>
        </w:rPr>
        <w:t xml:space="preserve"> </w:t>
      </w:r>
      <w:r>
        <w:rPr>
          <w:iCs/>
          <w:rFonts w:ascii="Times New Roman" w:hAnsi="Times New Roman" w:eastAsia="Times New Roman"/>
          <w:i/>
          <w:sz w:val="24"/>
        </w:rPr>
        <w:t xml:space="preserve">qu’</w:t>
      </w:r>
      <w:r>
        <w:rPr>
          <w:rFonts w:ascii="Times New Roman" w:hAnsi="Times New Roman" w:eastAsia="Times New Roman"/>
          <w:sz w:val="24"/>
        </w:rPr>
        <w:t xml:space="preserve">, deux verbes sont attendus,</w:t>
      </w:r>
      <w:r>
        <w:rPr>
          <w:rFonts w:ascii="Times New Roman" w:hAnsi="Times New Roman" w:eastAsia="Times New Roman"/>
          <w:sz w:val="24"/>
        </w:rPr>
        <w:t xml:space="preserve"> </w:t>
      </w:r>
      <w:r>
        <w:rPr>
          <w:iCs/>
          <w:rFonts w:ascii="Times New Roman" w:hAnsi="Times New Roman" w:eastAsia="Times New Roman"/>
          <w:i/>
          <w:sz w:val="24"/>
        </w:rPr>
        <w:t xml:space="preserve">arrive</w:t>
      </w:r>
      <w:r>
        <w:rPr>
          <w:rFonts w:ascii="Times New Roman" w:hAnsi="Times New Roman" w:eastAsia="Times New Roman"/>
          <w:sz w:val="24"/>
        </w:rPr>
        <w:t xml:space="preserve"> </w:t>
      </w:r>
      <w:r>
        <w:rPr>
          <w:rFonts w:ascii="Times New Roman" w:hAnsi="Times New Roman" w:eastAsia="Times New Roman"/>
          <w:sz w:val="24"/>
        </w:rPr>
        <w:t xml:space="preserve">par</w:t>
      </w:r>
      <w:r>
        <w:rPr>
          <w:rFonts w:ascii="Times New Roman" w:hAnsi="Times New Roman" w:eastAsia="Times New Roman"/>
          <w:sz w:val="24"/>
        </w:rPr>
        <w:t xml:space="preserve"> </w:t>
      </w:r>
      <w:r>
        <w:rPr>
          <w:iCs/>
          <w:rFonts w:ascii="Times New Roman" w:hAnsi="Times New Roman" w:eastAsia="Times New Roman"/>
          <w:i/>
          <w:sz w:val="24"/>
        </w:rPr>
        <w:t xml:space="preserve">qu’</w:t>
      </w:r>
      <w:r>
        <w:rPr>
          <w:rFonts w:ascii="Times New Roman" w:hAnsi="Times New Roman" w:eastAsia="Times New Roman"/>
          <w:sz w:val="24"/>
        </w:rPr>
        <w:t xml:space="preserve"> </w:t>
      </w:r>
      <w:r>
        <w:rPr>
          <w:rFonts w:ascii="Times New Roman" w:hAnsi="Times New Roman" w:eastAsia="Times New Roman"/>
          <w:sz w:val="24"/>
        </w:rPr>
        <w:t xml:space="preserve">et</w:t>
      </w:r>
      <w:r>
        <w:rPr>
          <w:rFonts w:ascii="Times New Roman" w:hAnsi="Times New Roman" w:eastAsia="Times New Roman"/>
          <w:sz w:val="24"/>
        </w:rPr>
        <w:t xml:space="preserve"> </w:t>
      </w:r>
      <w:r>
        <w:rPr>
          <w:iCs/>
          <w:rFonts w:ascii="Times New Roman" w:hAnsi="Times New Roman" w:eastAsia="Times New Roman"/>
          <w:i/>
          <w:sz w:val="24"/>
        </w:rPr>
        <w:t xml:space="preserve">aurai</w:t>
      </w:r>
      <w:r>
        <w:rPr>
          <w:rFonts w:ascii="Times New Roman" w:hAnsi="Times New Roman" w:eastAsia="Times New Roman"/>
          <w:sz w:val="24"/>
        </w:rPr>
        <w:t xml:space="preserve"> </w:t>
      </w:r>
      <w:r>
        <w:rPr>
          <w:rFonts w:ascii="Times New Roman" w:hAnsi="Times New Roman" w:eastAsia="Times New Roman"/>
          <w:sz w:val="24"/>
        </w:rPr>
        <w:t xml:space="preserve">par</w:t>
      </w:r>
      <w:r>
        <w:rPr>
          <w:rFonts w:ascii="Times New Roman" w:hAnsi="Times New Roman" w:eastAsia="Times New Roman"/>
          <w:sz w:val="24"/>
        </w:rPr>
        <w:t xml:space="preserve"> </w:t>
      </w:r>
      <w:r>
        <w:rPr>
          <w:iCs/>
          <w:rFonts w:ascii="Times New Roman" w:hAnsi="Times New Roman" w:eastAsia="Times New Roman"/>
          <w:i/>
          <w:sz w:val="24"/>
        </w:rPr>
        <w:t xml:space="preserve">ça</w:t>
      </w:r>
      <w:r>
        <w:rPr>
          <w:rFonts w:ascii="Times New Roman" w:hAnsi="Times New Roman" w:eastAsia="Times New Roman"/>
          <w:sz w:val="24"/>
        </w:rPr>
        <w:t xml:space="preserve"> </w:t>
      </w:r>
      <w:r>
        <w:rPr>
          <w:rFonts w:ascii="Times New Roman" w:hAnsi="Times New Roman" w:eastAsia="Times New Roman"/>
          <w:sz w:val="24"/>
        </w:rPr>
        <w:t xml:space="preserve">et</w:t>
      </w:r>
      <w:r>
        <w:rPr>
          <w:rFonts w:ascii="Times New Roman" w:hAnsi="Times New Roman" w:eastAsia="Times New Roman"/>
          <w:sz w:val="24"/>
        </w:rPr>
        <w:t xml:space="preserve"> </w:t>
      </w:r>
      <w:r>
        <w:rPr>
          <w:iCs/>
          <w:rFonts w:ascii="Times New Roman" w:hAnsi="Times New Roman" w:eastAsia="Times New Roman"/>
          <w:i/>
          <w:sz w:val="24"/>
        </w:rPr>
        <w:t xml:space="preserve">quoi</w:t>
      </w:r>
      <w:r>
        <w:rPr>
          <w:rFonts w:ascii="Times New Roman" w:hAnsi="Times New Roman" w:eastAsia="Times New Roman"/>
          <w:sz w:val="24"/>
        </w:rPr>
        <w:t xml:space="preserve">.</w:t>
      </w:r>
    </w:p>
    <w:p>
      <w:pPr>
        <w:pStyle w:val="ListParagraph"/>
        <w:spacing w:before="240" w:after="240"/>
        <w:jc w:val="left"/>
      </w:pPr>
      <w:r>
        <w:rPr>
          <w:rFonts w:ascii="Times New Roman" w:hAnsi="Times New Roman" w:eastAsia="Times New Roman"/>
          <w:sz w:val="22"/>
        </w:rPr>
        <w:t xml:space="preserve">(4)</w:t>
      </w:r>
      <w:r>
        <w:rPr>
          <w:rFonts w:ascii="Times New Roman" w:hAnsi="Times New Roman" w:eastAsia="Times New Roman"/>
          <w:sz w:val="22"/>
        </w:rPr>
        <w:t xml:space="preserve"> </w:t>
      </w:r>
      <w:r>
        <w:rPr>
          <w:bCs/>
          <w:rFonts w:ascii="Times New Roman" w:hAnsi="Times New Roman" w:eastAsia="Times New Roman"/>
          <w:b/>
          <w:sz w:val="22"/>
        </w:rPr>
        <w:t xml:space="preserve">Travail</w:t>
      </w:r>
      <w:r>
        <w:rPr>
          <w:rFonts w:ascii="Times New Roman" w:hAnsi="Times New Roman" w:eastAsia="Times New Roman"/>
          <w:sz w:val="22"/>
          <w:vertAlign w:val="subscript"/>
        </w:rPr>
        <w:t xml:space="preserve">1</w:t>
      </w:r>
      <w:r>
        <w:rPr>
          <w:rFonts w:ascii="Times New Roman" w:hAnsi="Times New Roman" w:eastAsia="Times New Roman"/>
          <w:sz w:val="22"/>
        </w:rPr>
        <w:t xml:space="preserve"> </w:t>
      </w:r>
      <w:r>
        <w:rPr>
          <w:rFonts w:ascii="Times New Roman" w:hAnsi="Times New Roman" w:eastAsia="Times New Roman"/>
          <w:sz w:val="22"/>
        </w:rPr>
        <w:t xml:space="preserve">de très grande</w:t>
      </w:r>
      <w:r>
        <w:rPr>
          <w:rFonts w:ascii="Times New Roman" w:hAnsi="Times New Roman" w:eastAsia="Times New Roman"/>
          <w:sz w:val="22"/>
          <w:vertAlign w:val="subscript"/>
        </w:rPr>
        <w:t xml:space="preserve">2</w:t>
      </w:r>
      <w:r>
        <w:rPr>
          <w:rFonts w:ascii="Times New Roman" w:hAnsi="Times New Roman" w:eastAsia="Times New Roman"/>
          <w:sz w:val="22"/>
        </w:rPr>
        <w:t xml:space="preserve"> </w:t>
      </w:r>
      <w:r>
        <w:rPr>
          <w:rFonts w:ascii="Times New Roman" w:hAnsi="Times New Roman" w:eastAsia="Times New Roman"/>
          <w:sz w:val="22"/>
        </w:rPr>
        <w:t xml:space="preserve">|</w:t>
      </w:r>
      <w:r>
        <w:rPr>
          <w:rFonts w:ascii="Times New Roman" w:hAnsi="Times New Roman" w:eastAsia="Times New Roman"/>
          <w:sz w:val="22"/>
        </w:rPr>
        <w:t xml:space="preserve"> </w:t>
      </w:r>
      <w:r>
        <w:rPr>
          <w:bCs/>
          <w:rFonts w:ascii="Times New Roman" w:hAnsi="Times New Roman" w:eastAsia="Times New Roman"/>
          <w:b/>
          <w:sz w:val="22"/>
        </w:rPr>
        <w:t xml:space="preserve">qualité</w:t>
      </w:r>
      <w:r>
        <w:rPr>
          <w:rFonts w:ascii="Times New Roman" w:hAnsi="Times New Roman" w:eastAsia="Times New Roman"/>
          <w:sz w:val="22"/>
          <w:vertAlign w:val="subscript"/>
        </w:rPr>
        <w:t xml:space="preserve">2</w:t>
      </w:r>
      <w:r>
        <w:rPr>
          <w:rFonts w:ascii="Times New Roman" w:hAnsi="Times New Roman" w:eastAsia="Times New Roman"/>
          <w:sz w:val="22"/>
        </w:rPr>
        <w:t xml:space="preserve"> </w:t>
      </w:r>
      <w:r>
        <w:rPr>
          <w:rFonts w:ascii="Times New Roman" w:hAnsi="Times New Roman" w:eastAsia="Times New Roman"/>
          <w:sz w:val="22"/>
        </w:rPr>
        <w:t xml:space="preserve">exécuté</w:t>
      </w:r>
      <w:r>
        <w:rPr>
          <w:rFonts w:ascii="Times New Roman" w:hAnsi="Times New Roman" w:eastAsia="Times New Roman"/>
          <w:sz w:val="22"/>
          <w:vertAlign w:val="subscript"/>
        </w:rPr>
        <w:t xml:space="preserve">1</w:t>
      </w:r>
      <w:r>
        <w:rPr>
          <w:rFonts w:ascii="Times New Roman" w:hAnsi="Times New Roman" w:eastAsia="Times New Roman"/>
          <w:sz w:val="22"/>
        </w:rPr>
        <w:t xml:space="preserve"> </w:t>
      </w:r>
      <w:r>
        <w:rPr>
          <w:rFonts w:ascii="Times New Roman" w:hAnsi="Times New Roman" w:eastAsia="Times New Roman"/>
          <w:sz w:val="22"/>
        </w:rPr>
        <w:t xml:space="preserve">par un imprimeur artisan passionné.</w:t>
      </w:r>
      <w:r>
        <w:rPr>
          <w:rFonts w:ascii="Times New Roman" w:hAnsi="Times New Roman" w:eastAsia="Times New Roman"/>
          <w:sz w:val="22"/>
        </w:rPr>
        <w:br/>
      </w:r>
      <w:r>
        <w:rPr>
          <w:rFonts w:ascii="Times New Roman" w:hAnsi="Times New Roman" w:eastAsia="Times New Roman"/>
          <w:sz w:val="22"/>
        </w:rPr>
        <w:t xml:space="preserve">(5) avec ça</w:t>
      </w:r>
      <w:r>
        <w:rPr>
          <w:rFonts w:ascii="Times New Roman" w:hAnsi="Times New Roman" w:eastAsia="Times New Roman"/>
          <w:sz w:val="22"/>
          <w:vertAlign w:val="subscript"/>
        </w:rPr>
        <w:t xml:space="preserve">2</w:t>
      </w:r>
      <w:r>
        <w:rPr>
          <w:rFonts w:ascii="Times New Roman" w:hAnsi="Times New Roman" w:eastAsia="Times New Roman"/>
          <w:sz w:val="22"/>
        </w:rPr>
        <w:t xml:space="preserve">, quoi</w:t>
      </w:r>
      <w:r>
        <w:rPr>
          <w:rFonts w:ascii="Times New Roman" w:hAnsi="Times New Roman" w:eastAsia="Times New Roman"/>
          <w:sz w:val="22"/>
          <w:vertAlign w:val="subscript"/>
        </w:rPr>
        <w:t xml:space="preserve">2</w:t>
      </w:r>
      <w:r>
        <w:rPr>
          <w:rFonts w:ascii="Times New Roman" w:hAnsi="Times New Roman" w:eastAsia="Times New Roman"/>
          <w:sz w:val="22"/>
        </w:rPr>
        <w:t xml:space="preserve"> </w:t>
      </w:r>
      <w:r>
        <w:rPr>
          <w:rFonts w:ascii="Times New Roman" w:hAnsi="Times New Roman" w:eastAsia="Times New Roman"/>
          <w:sz w:val="22"/>
        </w:rPr>
        <w:t xml:space="preserve">qu’</w:t>
      </w:r>
      <w:r>
        <w:rPr>
          <w:rFonts w:ascii="Times New Roman" w:hAnsi="Times New Roman" w:eastAsia="Times New Roman"/>
          <w:sz w:val="22"/>
          <w:vertAlign w:val="subscript"/>
        </w:rPr>
        <w:t xml:space="preserve">1</w:t>
      </w:r>
      <w:r>
        <w:rPr>
          <w:rFonts w:ascii="Times New Roman" w:hAnsi="Times New Roman" w:eastAsia="Times New Roman"/>
          <w:sz w:val="22"/>
        </w:rPr>
        <w:t xml:space="preserve"> </w:t>
      </w:r>
      <w:r>
        <w:rPr>
          <w:rFonts w:ascii="Times New Roman" w:hAnsi="Times New Roman" w:eastAsia="Times New Roman"/>
          <w:sz w:val="22"/>
        </w:rPr>
        <w:t xml:space="preserve">| il</w:t>
      </w:r>
      <w:r>
        <w:rPr>
          <w:rFonts w:ascii="Times New Roman" w:hAnsi="Times New Roman" w:eastAsia="Times New Roman"/>
          <w:sz w:val="22"/>
        </w:rPr>
        <w:t xml:space="preserve"> </w:t>
      </w:r>
      <w:r>
        <w:rPr>
          <w:bCs/>
          <w:rFonts w:ascii="Times New Roman" w:hAnsi="Times New Roman" w:eastAsia="Times New Roman"/>
          <w:b/>
          <w:sz w:val="22"/>
        </w:rPr>
        <w:t xml:space="preserve">arrive</w:t>
      </w:r>
      <w:r>
        <w:rPr>
          <w:rFonts w:ascii="Times New Roman" w:hAnsi="Times New Roman" w:eastAsia="Times New Roman"/>
          <w:sz w:val="22"/>
          <w:vertAlign w:val="subscript"/>
        </w:rPr>
        <w:t xml:space="preserve">1</w:t>
      </w:r>
      <w:r>
        <w:rPr>
          <w:rFonts w:ascii="Times New Roman" w:hAnsi="Times New Roman" w:eastAsia="Times New Roman"/>
          <w:sz w:val="22"/>
        </w:rPr>
        <w:t xml:space="preserve">, j’</w:t>
      </w:r>
      <w:r>
        <w:rPr>
          <w:bCs/>
          <w:rFonts w:ascii="Times New Roman" w:hAnsi="Times New Roman" w:eastAsia="Times New Roman"/>
          <w:b/>
          <w:sz w:val="22"/>
        </w:rPr>
        <w:t xml:space="preserve">aurai</w:t>
      </w:r>
      <w:r>
        <w:rPr>
          <w:rFonts w:ascii="Times New Roman" w:hAnsi="Times New Roman" w:eastAsia="Times New Roman"/>
          <w:sz w:val="22"/>
          <w:vertAlign w:val="subscript"/>
        </w:rPr>
        <w:t xml:space="preserve">2</w:t>
      </w:r>
      <w:r>
        <w:rPr>
          <w:rFonts w:ascii="Times New Roman" w:hAnsi="Times New Roman" w:eastAsia="Times New Roman"/>
          <w:sz w:val="22"/>
        </w:rPr>
        <w:t xml:space="preserve"> </w:t>
      </w:r>
      <w:r>
        <w:rPr>
          <w:rFonts w:ascii="Times New Roman" w:hAnsi="Times New Roman" w:eastAsia="Times New Roman"/>
          <w:sz w:val="22"/>
        </w:rPr>
        <w:t xml:space="preserve">un métier</w:t>
      </w:r>
    </w:p>
    <w:p>
      <w:pPr>
        <w:pStyle w:val="BodyText"/>
        <w:jc w:val="both"/>
      </w:pPr>
      <w:r>
        <w:rPr>
          <w:rFonts w:ascii="Times New Roman" w:hAnsi="Times New Roman" w:eastAsia="Times New Roman"/>
          <w:sz w:val="24"/>
        </w:rPr>
        <w:t xml:space="preserve">Deux dépendances disjointes gouvernées par deux noms sont présentes dans 2,9 % (GSD) et 3,4 % (Sequoia) des positions à l’écrit, mais dans 1,2 et 1,6 % des positions à l’oral ; deux dépendances disjointes gouvernées par deux verbes, dans 1,4 et 2,0 % des positions à l’écrit et dans 3,5 et 2,5 % à l’oral. Dans tous les corpus, les paires de gouverneurs de même catégorie sont nettement plus rares que les paires mixtes (un nom et un verbe : 6,3 à 9,0 % des positions), ce qui va dans le sens d’une difficulté particulière à traiter simultanément deux relations disjointes du même type.</w:t>
      </w:r>
      <w:r>
        <w:rPr>
          <w:rStyle w:val="FootnoteReference"/>
          <w:rFonts w:ascii="Times New Roman" w:hAnsi="Times New Roman" w:eastAsia="Times New Roman"/>
          <w:sz w:val="24"/>
        </w:rPr>
        <w:footnoteReference w:id="66"/>
      </w:r>
      <w:r>
        <w:rPr>
          <w:rFonts w:ascii="Times New Roman" w:hAnsi="Times New Roman" w:eastAsia="Times New Roman"/>
          <w:sz w:val="24"/>
        </w:rPr>
        <w:t xml:space="preserve"> </w:t>
      </w:r>
      <w:r>
        <w:rPr>
          <w:rFonts w:ascii="Times New Roman" w:hAnsi="Times New Roman" w:eastAsia="Times New Roman"/>
          <w:sz w:val="24"/>
        </w:rPr>
        <w:t xml:space="preserve">Un sujet, un objet et un complément oblique deux à deux disjoints ne se rencontrent jamais à l’écrit dans cette vue, et seulement une fois dans ParisStories et deux fois dans Rhapsodie.</w:t>
      </w:r>
    </w:p>
    <w:bookmarkEnd w:id="67"/>
    <w:bookmarkEnd w:id="68"/>
    <w:bookmarkStart w:id="69" w:name="discussion"/>
    <w:p>
      <w:pPr>
        <w:pStyle w:val="Heading1"/>
      </w:pPr>
      <w:r>
        <w:rPr>
          <w:rFonts w:ascii="Times New Roman" w:hAnsi="Times New Roman" w:eastAsia="Times New Roman"/>
          <w:b/>
          <w:sz w:val="24"/>
        </w:rPr>
        <w:t xml:space="preserve">5. Discussion</w:t>
      </w:r>
    </w:p>
    <w:p>
      <w:pPr>
        <w:pStyle w:val="BodyText"/>
        <w:jc w:val="both"/>
      </w:pPr>
      <w:r>
        <w:rPr>
          <w:rFonts w:ascii="Times New Roman" w:hAnsi="Times New Roman" w:eastAsia="Times New Roman"/>
          <w:sz w:val="24"/>
        </w:rPr>
        <w:t xml:space="preserve">À longueur d’unité égale, l’oral a un flux plus grand que l’écrit et un indice de saturation plus faible. Ce surplus est entièrement fait de relations macrosyntaxiques : marqueurs de discours, éléments disloqués, parenthèses et modifieurs antéposés au sujet, deux fois plus fréquents à l’oral. Ces relations partent presque toutes du verbe principal et forment des bouquets, si bien qu’elles augmentent la taille du flux sans augmenter son poids. Pour la microsyntaxe seule, la taille moyenne du flux de l’oral ne dépasse celle de l’écrit que de peu, son indice de saturation est le même (sauf dans CEFC-gold), son poids est un peu plus faible, et la distribution du poids dans la vue limitée aux mots pleins est la même dans les quatre corpus.</w:t>
      </w:r>
    </w:p>
    <w:p>
      <w:pPr>
        <w:pStyle w:val="BodyText"/>
        <w:jc w:val="both"/>
      </w:pPr>
      <w:r>
        <w:rPr>
          <w:rFonts w:ascii="Times New Roman" w:hAnsi="Times New Roman" w:eastAsia="Times New Roman"/>
          <w:sz w:val="24"/>
        </w:rPr>
        <w:t xml:space="preserve">Ce résultat est compatible avec l’hypothèse de Christiansen &amp; Chater (2016) selon laquelle le traitement comporte plusieurs niveaux de goulot d’étranglement : la macrosyntaxe n’est pas soumise au même type de pression que la microsyntaxe, car les deux ne sont pas traitées au même niveau. Il conforte aussi notre choix de compter les modifieurs antéposés au sujet dans la macrosyntaxe : si on les laisse dans la microsyntaxe, l’oral garde un surplus de flux et un indice de saturation plus faible ; si on les en retire, à l’oral comme à l’écrit, les deux modalités ont le même indice de saturation. Le flux fournit ainsi un critère quantitatif pour la frontière entre microsyntaxe et macrosyntaxe, qui rejoint l’analyse de Blanche-Benveniste (1990). La longueur des dépendances, elle, conduit à une conclusion opposée (l’oral aurait moins de dépendances très longues), parce qu’elle mesure une autre chose : la distance entre deux mots liés, sans tenir compte de ce qui est maintenu en même temps.</w:t>
      </w:r>
    </w:p>
    <w:p>
      <w:pPr>
        <w:pStyle w:val="BodyText"/>
        <w:jc w:val="both"/>
      </w:pPr>
      <w:r>
        <w:rPr>
          <w:rFonts w:ascii="Times New Roman" w:hAnsi="Times New Roman" w:eastAsia="Times New Roman"/>
          <w:sz w:val="24"/>
        </w:rPr>
        <w:t xml:space="preserve">Ces conclusions dépendent de choix d’annotation et de traitement. En SUD comme en UD, les marqueurs de discours et les éléments disloqués qui portent sur la phrase sont rattachés au verbe principal, et un autre rattachement changerait la taille du flux ; retirer les segments macrosyntaxiques plutôt que leurs seules dépendances change les moyennes de 0,2 (section 3.2) ; la correspondance entre les relations de CEFC-gold et celles de SUD reste approximative, ce qui explique sans doute que son indice de saturation reste à part. Elles dépendent aussi de la segmentation des corpus oraux, différente dans les trois corpus. Enfin, nos corpus oraux sont petits, et les différences d’indices de saturation entre deux corpus oraux ne sont pas toutes significatives.</w:t>
      </w:r>
    </w:p>
    <w:bookmarkEnd w:id="69"/>
    <w:bookmarkStart w:id="70" w:name="conclusion"/>
    <w:p>
      <w:pPr>
        <w:pStyle w:val="Heading1"/>
      </w:pPr>
      <w:r>
        <w:rPr>
          <w:rFonts w:ascii="Times New Roman" w:hAnsi="Times New Roman" w:eastAsia="Times New Roman"/>
          <w:b/>
          <w:sz w:val="24"/>
        </w:rPr>
        <w:t xml:space="preserve">6. Conclusion</w:t>
      </w:r>
    </w:p>
    <w:p>
      <w:pPr>
        <w:pStyle w:val="BodyText"/>
        <w:jc w:val="both"/>
      </w:pPr>
      <w:r>
        <w:rPr>
          <w:rFonts w:ascii="Times New Roman" w:hAnsi="Times New Roman" w:eastAsia="Times New Roman"/>
          <w:sz w:val="24"/>
        </w:rPr>
        <w:t xml:space="preserve">Mesurée par la taille et le poids du flux de dépendance plutôt que par la longueur des phrases ou des dépendances, la complexité syntaxique de l’oral n’est pas inférieure à celle de l’écrit. Mais l’oral ne distribue pas son flux aux mêmes endroits : là où l’écrit construit des groupes nominaux denses, l’oral accumule autour du noyau verbal des éléments macrosyntaxiques qui forment des bouquets. La limitation de l’enchâssement central, mesurée par le poids du flux entre mots pleins, est la même dans les deux modalités. Il reste à vérifier ces résultats sur d’autres corpus oraux, sur d’autres genres écrits et dans d’autres langues.</w:t>
      </w:r>
    </w:p>
    <w:bookmarkEnd w:id="70"/>
    <w:bookmarkStart w:id="71" w:name="références-bibliographiques"/>
    <w:p>
      <w:pPr>
        <w:pStyle w:val="Heading1"/>
      </w:pPr>
      <w:r>
        <w:rPr>
          <w:rFonts w:ascii="Times New Roman" w:hAnsi="Times New Roman" w:eastAsia="Times New Roman"/>
          <w:b/>
          <w:sz w:val="24"/>
        </w:rPr>
        <w:t xml:space="preserve">Références bibliographiques</w:t>
      </w:r>
    </w:p>
    <w:p>
      <w:pPr>
        <w:pStyle w:val="BodyText"/>
        <w:jc w:val="both"/>
      </w:pPr>
      <w:r>
        <w:rPr>
          <w:rFonts w:ascii="Times New Roman" w:hAnsi="Times New Roman" w:eastAsia="Times New Roman"/>
          <w:sz w:val="24"/>
        </w:rPr>
        <w:t xml:space="preserve">Bakhtine, M. (1984), « Les genres du discours »,</w:t>
      </w:r>
      <w:r>
        <w:rPr>
          <w:rFonts w:ascii="Times New Roman" w:hAnsi="Times New Roman" w:eastAsia="Times New Roman"/>
          <w:sz w:val="24"/>
        </w:rPr>
        <w:t xml:space="preserve"> </w:t>
      </w:r>
      <w:r>
        <w:rPr>
          <w:iCs/>
          <w:rFonts w:ascii="Times New Roman" w:hAnsi="Times New Roman" w:eastAsia="Times New Roman"/>
          <w:i/>
          <w:sz w:val="24"/>
        </w:rPr>
        <w:t xml:space="preserve">in</w:t>
      </w:r>
      <w:r>
        <w:rPr>
          <w:rFonts w:ascii="Times New Roman" w:hAnsi="Times New Roman" w:eastAsia="Times New Roman"/>
          <w:sz w:val="24"/>
        </w:rPr>
        <w:t xml:space="preserve"> </w:t>
      </w:r>
      <w:r>
        <w:rPr>
          <w:iCs/>
          <w:rFonts w:ascii="Times New Roman" w:hAnsi="Times New Roman" w:eastAsia="Times New Roman"/>
          <w:i/>
          <w:sz w:val="24"/>
        </w:rPr>
        <w:t xml:space="preserve">Esthétique de la création verbale</w:t>
      </w:r>
      <w:r>
        <w:rPr>
          <w:rFonts w:ascii="Times New Roman" w:hAnsi="Times New Roman" w:eastAsia="Times New Roman"/>
          <w:sz w:val="24"/>
        </w:rPr>
        <w:t xml:space="preserve">, trad. A. Aucouturier, Gallimard, Paris, p. 265-308.</w:t>
      </w:r>
    </w:p>
    <w:p>
      <w:pPr>
        <w:pStyle w:val="BodyText"/>
        <w:jc w:val="both"/>
      </w:pPr>
      <w:r>
        <w:rPr>
          <w:rFonts w:ascii="Times New Roman" w:hAnsi="Times New Roman" w:eastAsia="Times New Roman"/>
          <w:sz w:val="24"/>
        </w:rPr>
        <w:t xml:space="preserve">Amaral, L. A. N., Scala, A., Barthelemy, M., Stanley, H. E. (2000), « Classes of small-world networks »,</w:t>
      </w:r>
      <w:r>
        <w:rPr>
          <w:rFonts w:ascii="Times New Roman" w:hAnsi="Times New Roman" w:eastAsia="Times New Roman"/>
          <w:sz w:val="24"/>
        </w:rPr>
        <w:t xml:space="preserve"> </w:t>
      </w:r>
      <w:r>
        <w:rPr>
          <w:iCs/>
          <w:rFonts w:ascii="Times New Roman" w:hAnsi="Times New Roman" w:eastAsia="Times New Roman"/>
          <w:i/>
          <w:sz w:val="24"/>
        </w:rPr>
        <w:t xml:space="preserve">Proceedings of the National Academy of Sciences</w:t>
      </w:r>
      <w:r>
        <w:rPr>
          <w:rFonts w:ascii="Times New Roman" w:hAnsi="Times New Roman" w:eastAsia="Times New Roman"/>
          <w:sz w:val="24"/>
        </w:rPr>
        <w:t xml:space="preserve">, 97 (21), p. 11149-11152.</w:t>
      </w:r>
    </w:p>
    <w:p>
      <w:pPr>
        <w:pStyle w:val="BodyText"/>
        <w:jc w:val="both"/>
      </w:pPr>
      <w:r>
        <w:rPr>
          <w:rFonts w:ascii="Times New Roman" w:hAnsi="Times New Roman" w:eastAsia="Times New Roman"/>
          <w:sz w:val="24"/>
        </w:rPr>
        <w:t xml:space="preserve">Benzitoun, C., Dister, A., Gerdes, K., Kahane, S., Pietrandrea, P., Sabio, F. (2010), « tu veux couper là faut dire pourquoi : propositions pour une segmentation syntaxique du français parlé »,</w:t>
      </w:r>
      <w:r>
        <w:rPr>
          <w:rFonts w:ascii="Times New Roman" w:hAnsi="Times New Roman" w:eastAsia="Times New Roman"/>
          <w:sz w:val="24"/>
        </w:rPr>
        <w:t xml:space="preserve"> </w:t>
      </w:r>
      <w:r>
        <w:rPr>
          <w:iCs/>
          <w:rFonts w:ascii="Times New Roman" w:hAnsi="Times New Roman" w:eastAsia="Times New Roman"/>
          <w:i/>
          <w:sz w:val="24"/>
        </w:rPr>
        <w:t xml:space="preserve">in</w:t>
      </w:r>
      <w:r>
        <w:rPr>
          <w:rFonts w:ascii="Times New Roman" w:hAnsi="Times New Roman" w:eastAsia="Times New Roman"/>
          <w:sz w:val="24"/>
        </w:rPr>
        <w:t xml:space="preserve"> </w:t>
      </w:r>
      <w:r>
        <w:rPr>
          <w:iCs/>
          <w:rFonts w:ascii="Times New Roman" w:hAnsi="Times New Roman" w:eastAsia="Times New Roman"/>
          <w:i/>
          <w:sz w:val="24"/>
        </w:rPr>
        <w:t xml:space="preserve">Actes du 2e Congrès mondial de linguistique française (CMLF 2010)</w:t>
      </w:r>
      <w:r>
        <w:rPr>
          <w:rFonts w:ascii="Times New Roman" w:hAnsi="Times New Roman" w:eastAsia="Times New Roman"/>
          <w:sz w:val="24"/>
        </w:rPr>
        <w:t xml:space="preserve">, La Nouvelle-Orléans.</w:t>
      </w:r>
    </w:p>
    <w:p>
      <w:pPr>
        <w:pStyle w:val="BodyText"/>
        <w:jc w:val="both"/>
      </w:pPr>
      <w:r>
        <w:rPr>
          <w:rFonts w:ascii="Times New Roman" w:hAnsi="Times New Roman" w:eastAsia="Times New Roman"/>
          <w:sz w:val="24"/>
        </w:rPr>
        <w:t xml:space="preserve">Benzitoun, C., Debaisieux, J.-M., Deulofeu, H.-J. (2016), « Le projet ORFÉO : un corpus d’étude pour le français contemporain »,</w:t>
      </w:r>
      <w:r>
        <w:rPr>
          <w:rFonts w:ascii="Times New Roman" w:hAnsi="Times New Roman" w:eastAsia="Times New Roman"/>
          <w:sz w:val="24"/>
        </w:rPr>
        <w:t xml:space="preserve"> </w:t>
      </w:r>
      <w:r>
        <w:rPr>
          <w:iCs/>
          <w:rFonts w:ascii="Times New Roman" w:hAnsi="Times New Roman" w:eastAsia="Times New Roman"/>
          <w:i/>
          <w:sz w:val="24"/>
        </w:rPr>
        <w:t xml:space="preserve">Corpus</w:t>
      </w:r>
      <w:r>
        <w:rPr>
          <w:rFonts w:ascii="Times New Roman" w:hAnsi="Times New Roman" w:eastAsia="Times New Roman"/>
          <w:sz w:val="24"/>
        </w:rPr>
        <w:t xml:space="preserve">, 15, p. 91-114.</w:t>
      </w:r>
    </w:p>
    <w:p>
      <w:pPr>
        <w:pStyle w:val="BodyText"/>
        <w:jc w:val="both"/>
      </w:pPr>
      <w:r>
        <w:rPr>
          <w:rFonts w:ascii="Times New Roman" w:hAnsi="Times New Roman" w:eastAsia="Times New Roman"/>
          <w:sz w:val="24"/>
        </w:rPr>
        <w:t xml:space="preserve">Blanche-Benveniste, C. (1990),</w:t>
      </w:r>
      <w:r>
        <w:rPr>
          <w:rFonts w:ascii="Times New Roman" w:hAnsi="Times New Roman" w:eastAsia="Times New Roman"/>
          <w:sz w:val="24"/>
        </w:rPr>
        <w:t xml:space="preserve"> </w:t>
      </w:r>
      <w:r>
        <w:rPr>
          <w:iCs/>
          <w:rFonts w:ascii="Times New Roman" w:hAnsi="Times New Roman" w:eastAsia="Times New Roman"/>
          <w:i/>
          <w:sz w:val="24"/>
        </w:rPr>
        <w:t xml:space="preserve">Le français parlé. Études grammaticales</w:t>
      </w:r>
      <w:r>
        <w:rPr>
          <w:rFonts w:ascii="Times New Roman" w:hAnsi="Times New Roman" w:eastAsia="Times New Roman"/>
          <w:sz w:val="24"/>
        </w:rPr>
        <w:t xml:space="preserve">, Éditions du CNRS, Paris.</w:t>
      </w:r>
    </w:p>
    <w:p>
      <w:pPr>
        <w:pStyle w:val="BodyText"/>
        <w:jc w:val="both"/>
      </w:pPr>
      <w:r>
        <w:rPr>
          <w:rFonts w:ascii="Times New Roman" w:hAnsi="Times New Roman" w:eastAsia="Times New Roman"/>
          <w:sz w:val="24"/>
        </w:rPr>
        <w:t xml:space="preserve">Botalla, M.-A. (2014),</w:t>
      </w:r>
      <w:r>
        <w:rPr>
          <w:rFonts w:ascii="Times New Roman" w:hAnsi="Times New Roman" w:eastAsia="Times New Roman"/>
          <w:sz w:val="24"/>
        </w:rPr>
        <w:t xml:space="preserve"> </w:t>
      </w:r>
      <w:r>
        <w:rPr>
          <w:iCs/>
          <w:rFonts w:ascii="Times New Roman" w:hAnsi="Times New Roman" w:eastAsia="Times New Roman"/>
          <w:i/>
          <w:sz w:val="24"/>
        </w:rPr>
        <w:t xml:space="preserve">Analyse du flux de dépendance dans un corpus de français oral annoté en microsyntaxe</w:t>
      </w:r>
      <w:r>
        <w:rPr>
          <w:rFonts w:ascii="Times New Roman" w:hAnsi="Times New Roman" w:eastAsia="Times New Roman"/>
          <w:sz w:val="24"/>
        </w:rPr>
        <w:t xml:space="preserve">, mémoire de master, Université Paris Ouest Nanterre La Défense.</w:t>
      </w:r>
    </w:p>
    <w:p>
      <w:pPr>
        <w:pStyle w:val="BodyText"/>
        <w:jc w:val="both"/>
      </w:pPr>
      <w:r>
        <w:rPr>
          <w:rFonts w:ascii="Times New Roman" w:hAnsi="Times New Roman" w:eastAsia="Times New Roman"/>
          <w:sz w:val="24"/>
        </w:rPr>
        <w:t xml:space="preserve">Buffier, C. (1709),</w:t>
      </w:r>
      <w:r>
        <w:rPr>
          <w:rFonts w:ascii="Times New Roman" w:hAnsi="Times New Roman" w:eastAsia="Times New Roman"/>
          <w:sz w:val="24"/>
        </w:rPr>
        <w:t xml:space="preserve"> </w:t>
      </w:r>
      <w:r>
        <w:rPr>
          <w:iCs/>
          <w:rFonts w:ascii="Times New Roman" w:hAnsi="Times New Roman" w:eastAsia="Times New Roman"/>
          <w:i/>
          <w:sz w:val="24"/>
        </w:rPr>
        <w:t xml:space="preserve">Grammaire françoise sur un plan nouveau</w:t>
      </w:r>
      <w:r>
        <w:rPr>
          <w:rFonts w:ascii="Times New Roman" w:hAnsi="Times New Roman" w:eastAsia="Times New Roman"/>
          <w:sz w:val="24"/>
        </w:rPr>
        <w:t xml:space="preserve">, N. Le Clerc, Paris.</w:t>
      </w:r>
    </w:p>
    <w:p>
      <w:pPr>
        <w:pStyle w:val="BodyText"/>
        <w:jc w:val="both"/>
      </w:pPr>
      <w:r>
        <w:rPr>
          <w:rFonts w:ascii="Times New Roman" w:hAnsi="Times New Roman" w:eastAsia="Times New Roman"/>
          <w:sz w:val="24"/>
        </w:rPr>
        <w:t xml:space="preserve">Candito, M., Seddah, D. (2012), « Le corpus Sequoia : annotation syntaxique et exploitation pour l’adaptation d’analyseur par pont lexical »,</w:t>
      </w:r>
      <w:r>
        <w:rPr>
          <w:rFonts w:ascii="Times New Roman" w:hAnsi="Times New Roman" w:eastAsia="Times New Roman"/>
          <w:sz w:val="24"/>
        </w:rPr>
        <w:t xml:space="preserve"> </w:t>
      </w:r>
      <w:r>
        <w:rPr>
          <w:iCs/>
          <w:rFonts w:ascii="Times New Roman" w:hAnsi="Times New Roman" w:eastAsia="Times New Roman"/>
          <w:i/>
          <w:sz w:val="24"/>
        </w:rPr>
        <w:t xml:space="preserve">in</w:t>
      </w:r>
      <w:r>
        <w:rPr>
          <w:rFonts w:ascii="Times New Roman" w:hAnsi="Times New Roman" w:eastAsia="Times New Roman"/>
          <w:sz w:val="24"/>
        </w:rPr>
        <w:t xml:space="preserve"> </w:t>
      </w:r>
      <w:r>
        <w:rPr>
          <w:iCs/>
          <w:rFonts w:ascii="Times New Roman" w:hAnsi="Times New Roman" w:eastAsia="Times New Roman"/>
          <w:i/>
          <w:sz w:val="24"/>
        </w:rPr>
        <w:t xml:space="preserve">Actes de la conférence TALN 2012</w:t>
      </w:r>
      <w:r>
        <w:rPr>
          <w:rFonts w:ascii="Times New Roman" w:hAnsi="Times New Roman" w:eastAsia="Times New Roman"/>
          <w:sz w:val="24"/>
        </w:rPr>
        <w:t xml:space="preserve">, Grenoble, p. 321-334.</w:t>
      </w:r>
    </w:p>
    <w:p>
      <w:pPr>
        <w:pStyle w:val="BodyText"/>
        <w:jc w:val="both"/>
      </w:pPr>
      <w:r>
        <w:rPr>
          <w:rFonts w:ascii="Times New Roman" w:hAnsi="Times New Roman" w:eastAsia="Times New Roman"/>
          <w:sz w:val="24"/>
        </w:rPr>
        <w:t xml:space="preserve">Chomsky, N. (1957),</w:t>
      </w:r>
      <w:r>
        <w:rPr>
          <w:rFonts w:ascii="Times New Roman" w:hAnsi="Times New Roman" w:eastAsia="Times New Roman"/>
          <w:sz w:val="24"/>
        </w:rPr>
        <w:t xml:space="preserve"> </w:t>
      </w:r>
      <w:r>
        <w:rPr>
          <w:iCs/>
          <w:rFonts w:ascii="Times New Roman" w:hAnsi="Times New Roman" w:eastAsia="Times New Roman"/>
          <w:i/>
          <w:sz w:val="24"/>
        </w:rPr>
        <w:t xml:space="preserve">Syntactic Structures</w:t>
      </w:r>
      <w:r>
        <w:rPr>
          <w:rFonts w:ascii="Times New Roman" w:hAnsi="Times New Roman" w:eastAsia="Times New Roman"/>
          <w:sz w:val="24"/>
        </w:rPr>
        <w:t xml:space="preserve">, Mouton, La Haye.</w:t>
      </w:r>
    </w:p>
    <w:p>
      <w:pPr>
        <w:pStyle w:val="BodyText"/>
        <w:jc w:val="both"/>
      </w:pPr>
      <w:r>
        <w:rPr>
          <w:rFonts w:ascii="Times New Roman" w:hAnsi="Times New Roman" w:eastAsia="Times New Roman"/>
          <w:sz w:val="24"/>
        </w:rPr>
        <w:t xml:space="preserve">Chomsky, N., Miller, G. A. (1963), « Introduction to the formal analysis of natural languages »,</w:t>
      </w:r>
      <w:r>
        <w:rPr>
          <w:rFonts w:ascii="Times New Roman" w:hAnsi="Times New Roman" w:eastAsia="Times New Roman"/>
          <w:sz w:val="24"/>
        </w:rPr>
        <w:t xml:space="preserve"> </w:t>
      </w:r>
      <w:r>
        <w:rPr>
          <w:iCs/>
          <w:rFonts w:ascii="Times New Roman" w:hAnsi="Times New Roman" w:eastAsia="Times New Roman"/>
          <w:i/>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Luce, R. D., Bush, R. R., Galanter, E. (eds.),</w:t>
      </w:r>
      <w:r>
        <w:rPr>
          <w:rFonts w:ascii="Times New Roman" w:hAnsi="Times New Roman" w:eastAsia="Times New Roman"/>
          <w:sz w:val="24"/>
        </w:rPr>
        <w:t xml:space="preserve"> </w:t>
      </w:r>
      <w:r>
        <w:rPr>
          <w:iCs/>
          <w:rFonts w:ascii="Times New Roman" w:hAnsi="Times New Roman" w:eastAsia="Times New Roman"/>
          <w:i/>
          <w:sz w:val="24"/>
        </w:rPr>
        <w:t xml:space="preserve">Handbook of Mathematical Psychology</w:t>
      </w:r>
      <w:r>
        <w:rPr>
          <w:rFonts w:ascii="Times New Roman" w:hAnsi="Times New Roman" w:eastAsia="Times New Roman"/>
          <w:sz w:val="24"/>
        </w:rPr>
        <w:t xml:space="preserve">, vol. 2, Wiley, New York, p. 269-321.</w:t>
      </w:r>
    </w:p>
    <w:p>
      <w:pPr>
        <w:pStyle w:val="BodyText"/>
        <w:jc w:val="both"/>
      </w:pPr>
      <w:r>
        <w:rPr>
          <w:rFonts w:ascii="Times New Roman" w:hAnsi="Times New Roman" w:eastAsia="Times New Roman"/>
          <w:sz w:val="24"/>
        </w:rPr>
        <w:t xml:space="preserve">Christiansen, M. H., Chater, N. (2016), « The Now-or-Never bottleneck: A fundamental constraint on language »,</w:t>
      </w:r>
      <w:r>
        <w:rPr>
          <w:rFonts w:ascii="Times New Roman" w:hAnsi="Times New Roman" w:eastAsia="Times New Roman"/>
          <w:sz w:val="24"/>
        </w:rPr>
        <w:t xml:space="preserve"> </w:t>
      </w:r>
      <w:r>
        <w:rPr>
          <w:iCs/>
          <w:rFonts w:ascii="Times New Roman" w:hAnsi="Times New Roman" w:eastAsia="Times New Roman"/>
          <w:i/>
          <w:sz w:val="24"/>
        </w:rPr>
        <w:t xml:space="preserve">Behavioral and Brain Sciences</w:t>
      </w:r>
      <w:r>
        <w:rPr>
          <w:rFonts w:ascii="Times New Roman" w:hAnsi="Times New Roman" w:eastAsia="Times New Roman"/>
          <w:sz w:val="24"/>
        </w:rPr>
        <w:t xml:space="preserve">, 39, e62.</w:t>
      </w:r>
    </w:p>
    <w:p>
      <w:pPr>
        <w:pStyle w:val="BodyText"/>
        <w:jc w:val="both"/>
      </w:pPr>
      <w:r>
        <w:rPr>
          <w:rFonts w:ascii="Times New Roman" w:hAnsi="Times New Roman" w:eastAsia="Times New Roman"/>
          <w:sz w:val="24"/>
        </w:rPr>
        <w:t xml:space="preserve">Cowan, N. (2001), « The magical number 4 in short-term memory: A reconsideration of mental storage capacity »,</w:t>
      </w:r>
      <w:r>
        <w:rPr>
          <w:rFonts w:ascii="Times New Roman" w:hAnsi="Times New Roman" w:eastAsia="Times New Roman"/>
          <w:sz w:val="24"/>
        </w:rPr>
        <w:t xml:space="preserve"> </w:t>
      </w:r>
      <w:r>
        <w:rPr>
          <w:iCs/>
          <w:rFonts w:ascii="Times New Roman" w:hAnsi="Times New Roman" w:eastAsia="Times New Roman"/>
          <w:i/>
          <w:sz w:val="24"/>
        </w:rPr>
        <w:t xml:space="preserve">Behavioral and Brain Sciences</w:t>
      </w:r>
      <w:r>
        <w:rPr>
          <w:rFonts w:ascii="Times New Roman" w:hAnsi="Times New Roman" w:eastAsia="Times New Roman"/>
          <w:sz w:val="24"/>
        </w:rPr>
        <w:t xml:space="preserve">, 24 (1), p. 87-114.</w:t>
      </w:r>
    </w:p>
    <w:p>
      <w:pPr>
        <w:pStyle w:val="BodyText"/>
        <w:jc w:val="both"/>
      </w:pPr>
      <w:r>
        <w:rPr>
          <w:rFonts w:ascii="Times New Roman" w:hAnsi="Times New Roman" w:eastAsia="Times New Roman"/>
          <w:sz w:val="24"/>
        </w:rPr>
        <w:t xml:space="preserve">Cowan, N. (2008), « What are the differences between long-term, short-term, and working memory? »,</w:t>
      </w:r>
      <w:r>
        <w:rPr>
          <w:rFonts w:ascii="Times New Roman" w:hAnsi="Times New Roman" w:eastAsia="Times New Roman"/>
          <w:sz w:val="24"/>
        </w:rPr>
        <w:t xml:space="preserve"> </w:t>
      </w:r>
      <w:r>
        <w:rPr>
          <w:iCs/>
          <w:rFonts w:ascii="Times New Roman" w:hAnsi="Times New Roman" w:eastAsia="Times New Roman"/>
          <w:i/>
          <w:sz w:val="24"/>
        </w:rPr>
        <w:t xml:space="preserve">Progress in Brain Research</w:t>
      </w:r>
      <w:r>
        <w:rPr>
          <w:rFonts w:ascii="Times New Roman" w:hAnsi="Times New Roman" w:eastAsia="Times New Roman"/>
          <w:sz w:val="24"/>
        </w:rPr>
        <w:t xml:space="preserve">, 169, p. 323-338.</w:t>
      </w:r>
    </w:p>
    <w:p>
      <w:pPr>
        <w:pStyle w:val="BodyText"/>
        <w:jc w:val="both"/>
      </w:pPr>
      <w:r>
        <w:rPr>
          <w:rFonts w:ascii="Times New Roman" w:hAnsi="Times New Roman" w:eastAsia="Times New Roman"/>
          <w:sz w:val="24"/>
        </w:rPr>
        <w:t xml:space="preserve">Engle, R. W. (2002), « Working memory capacity as executive attention »,</w:t>
      </w:r>
      <w:r>
        <w:rPr>
          <w:rFonts w:ascii="Times New Roman" w:hAnsi="Times New Roman" w:eastAsia="Times New Roman"/>
          <w:sz w:val="24"/>
        </w:rPr>
        <w:t xml:space="preserve"> </w:t>
      </w:r>
      <w:r>
        <w:rPr>
          <w:iCs/>
          <w:rFonts w:ascii="Times New Roman" w:hAnsi="Times New Roman" w:eastAsia="Times New Roman"/>
          <w:i/>
          <w:sz w:val="24"/>
        </w:rPr>
        <w:t xml:space="preserve">Current Directions in Psychological Science</w:t>
      </w:r>
      <w:r>
        <w:rPr>
          <w:rFonts w:ascii="Times New Roman" w:hAnsi="Times New Roman" w:eastAsia="Times New Roman"/>
          <w:sz w:val="24"/>
        </w:rPr>
        <w:t xml:space="preserve">, 11 (1), p. 19-23.</w:t>
      </w:r>
    </w:p>
    <w:p>
      <w:pPr>
        <w:pStyle w:val="BodyText"/>
        <w:jc w:val="both"/>
      </w:pPr>
      <w:r>
        <w:rPr>
          <w:rFonts w:ascii="Times New Roman" w:hAnsi="Times New Roman" w:eastAsia="Times New Roman"/>
          <w:sz w:val="24"/>
        </w:rPr>
        <w:t xml:space="preserve">Ferrer-i-Cancho, R. (2004), « Euclidean distance between syntactically linked words »,</w:t>
      </w:r>
      <w:r>
        <w:rPr>
          <w:rFonts w:ascii="Times New Roman" w:hAnsi="Times New Roman" w:eastAsia="Times New Roman"/>
          <w:sz w:val="24"/>
        </w:rPr>
        <w:t xml:space="preserve"> </w:t>
      </w:r>
      <w:r>
        <w:rPr>
          <w:iCs/>
          <w:rFonts w:ascii="Times New Roman" w:hAnsi="Times New Roman" w:eastAsia="Times New Roman"/>
          <w:i/>
          <w:sz w:val="24"/>
        </w:rPr>
        <w:t xml:space="preserve">Physical Review E</w:t>
      </w:r>
      <w:r>
        <w:rPr>
          <w:rFonts w:ascii="Times New Roman" w:hAnsi="Times New Roman" w:eastAsia="Times New Roman"/>
          <w:sz w:val="24"/>
        </w:rPr>
        <w:t xml:space="preserve">, 70 (5), 056135.</w:t>
      </w:r>
    </w:p>
    <w:p>
      <w:pPr>
        <w:pStyle w:val="BodyText"/>
        <w:jc w:val="both"/>
      </w:pPr>
      <w:r>
        <w:rPr>
          <w:rFonts w:ascii="Times New Roman" w:hAnsi="Times New Roman" w:eastAsia="Times New Roman"/>
          <w:sz w:val="24"/>
        </w:rPr>
        <w:t xml:space="preserve">Ferrer-i-Cancho, R., Liu, H. (2014), « The risks of mixing dependency lengths from sequences of different length »,</w:t>
      </w:r>
      <w:r>
        <w:rPr>
          <w:rFonts w:ascii="Times New Roman" w:hAnsi="Times New Roman" w:eastAsia="Times New Roman"/>
          <w:sz w:val="24"/>
        </w:rPr>
        <w:t xml:space="preserve"> </w:t>
      </w:r>
      <w:r>
        <w:rPr>
          <w:iCs/>
          <w:rFonts w:ascii="Times New Roman" w:hAnsi="Times New Roman" w:eastAsia="Times New Roman"/>
          <w:i/>
          <w:sz w:val="24"/>
        </w:rPr>
        <w:t xml:space="preserve">Glottotheory</w:t>
      </w:r>
      <w:r>
        <w:rPr>
          <w:rFonts w:ascii="Times New Roman" w:hAnsi="Times New Roman" w:eastAsia="Times New Roman"/>
          <w:sz w:val="24"/>
        </w:rPr>
        <w:t xml:space="preserve">, 5 (2), p. 143-155.</w:t>
      </w:r>
    </w:p>
    <w:p>
      <w:pPr>
        <w:pStyle w:val="BodyText"/>
        <w:jc w:val="both"/>
      </w:pPr>
      <w:r>
        <w:rPr>
          <w:rFonts w:ascii="Times New Roman" w:hAnsi="Times New Roman" w:eastAsia="Times New Roman"/>
          <w:sz w:val="24"/>
        </w:rPr>
        <w:t xml:space="preserve">François, T. (2011),</w:t>
      </w:r>
      <w:r>
        <w:rPr>
          <w:rFonts w:ascii="Times New Roman" w:hAnsi="Times New Roman" w:eastAsia="Times New Roman"/>
          <w:sz w:val="24"/>
        </w:rPr>
        <w:t xml:space="preserve"> </w:t>
      </w:r>
      <w:r>
        <w:rPr>
          <w:iCs/>
          <w:rFonts w:ascii="Times New Roman" w:hAnsi="Times New Roman" w:eastAsia="Times New Roman"/>
          <w:i/>
          <w:sz w:val="24"/>
        </w:rPr>
        <w:t xml:space="preserve">Les apports du traitement automatique des langues à la lisibilité du français langue étrangère</w:t>
      </w:r>
      <w:r>
        <w:rPr>
          <w:rFonts w:ascii="Times New Roman" w:hAnsi="Times New Roman" w:eastAsia="Times New Roman"/>
          <w:sz w:val="24"/>
        </w:rPr>
        <w:t xml:space="preserve">, thèse de doctorat, Université catholique de Louvain.</w:t>
      </w:r>
    </w:p>
    <w:p>
      <w:pPr>
        <w:pStyle w:val="BodyText"/>
        <w:jc w:val="both"/>
      </w:pPr>
      <w:r>
        <w:rPr>
          <w:rFonts w:ascii="Times New Roman" w:hAnsi="Times New Roman" w:eastAsia="Times New Roman"/>
          <w:sz w:val="24"/>
        </w:rPr>
        <w:t xml:space="preserve">Futrell, R., Mahowald, K., Gibson, E. (2015), « Large-scale evidence of dependency length minimization in 37 languages »,</w:t>
      </w:r>
      <w:r>
        <w:rPr>
          <w:rFonts w:ascii="Times New Roman" w:hAnsi="Times New Roman" w:eastAsia="Times New Roman"/>
          <w:sz w:val="24"/>
        </w:rPr>
        <w:t xml:space="preserve"> </w:t>
      </w:r>
      <w:r>
        <w:rPr>
          <w:iCs/>
          <w:rFonts w:ascii="Times New Roman" w:hAnsi="Times New Roman" w:eastAsia="Times New Roman"/>
          <w:i/>
          <w:sz w:val="24"/>
        </w:rPr>
        <w:t xml:space="preserve">Proceedings of the National Academy of Sciences</w:t>
      </w:r>
      <w:r>
        <w:rPr>
          <w:rFonts w:ascii="Times New Roman" w:hAnsi="Times New Roman" w:eastAsia="Times New Roman"/>
          <w:sz w:val="24"/>
        </w:rPr>
        <w:t xml:space="preserve">, 112 (33), p. 10336-10341.</w:t>
      </w:r>
    </w:p>
    <w:p>
      <w:pPr>
        <w:pStyle w:val="BodyText"/>
        <w:jc w:val="both"/>
      </w:pPr>
      <w:r>
        <w:rPr>
          <w:rFonts w:ascii="Times New Roman" w:hAnsi="Times New Roman" w:eastAsia="Times New Roman"/>
          <w:sz w:val="24"/>
        </w:rPr>
        <w:t xml:space="preserve">Gerdes, K., Guillaume, B., Kahane, S., Perrier, G. (2018), « SUD or Surface-Syntactic Universal Dependencies: An annotation scheme near-isomorphic to UD »,</w:t>
      </w:r>
      <w:r>
        <w:rPr>
          <w:rFonts w:ascii="Times New Roman" w:hAnsi="Times New Roman" w:eastAsia="Times New Roman"/>
          <w:sz w:val="24"/>
        </w:rPr>
        <w:t xml:space="preserve"> </w:t>
      </w:r>
      <w:r>
        <w:rPr>
          <w:iCs/>
          <w:rFonts w:ascii="Times New Roman" w:hAnsi="Times New Roman" w:eastAsia="Times New Roman"/>
          <w:i/>
          <w:sz w:val="24"/>
        </w:rPr>
        <w:t xml:space="preserve">in</w:t>
      </w:r>
      <w:r>
        <w:rPr>
          <w:rFonts w:ascii="Times New Roman" w:hAnsi="Times New Roman" w:eastAsia="Times New Roman"/>
          <w:sz w:val="24"/>
        </w:rPr>
        <w:t xml:space="preserve"> </w:t>
      </w:r>
      <w:r>
        <w:rPr>
          <w:iCs/>
          <w:rFonts w:ascii="Times New Roman" w:hAnsi="Times New Roman" w:eastAsia="Times New Roman"/>
          <w:i/>
          <w:sz w:val="24"/>
        </w:rPr>
        <w:t xml:space="preserve">Proceedings of the Second Workshop on Universal Dependencies (UDW 2018)</w:t>
      </w:r>
      <w:r>
        <w:rPr>
          <w:rFonts w:ascii="Times New Roman" w:hAnsi="Times New Roman" w:eastAsia="Times New Roman"/>
          <w:sz w:val="24"/>
        </w:rPr>
        <w:t xml:space="preserve">, Bruxelles, p. 66-74.</w:t>
      </w:r>
    </w:p>
    <w:p>
      <w:pPr>
        <w:pStyle w:val="BodyText"/>
        <w:jc w:val="both"/>
      </w:pPr>
      <w:r>
        <w:rPr>
          <w:rFonts w:ascii="Times New Roman" w:hAnsi="Times New Roman" w:eastAsia="Times New Roman"/>
          <w:sz w:val="24"/>
        </w:rPr>
        <w:t xml:space="preserve">Gibson, E. (1998), « Linguistic complexity: Locality of syntactic dependencies »,</w:t>
      </w:r>
      <w:r>
        <w:rPr>
          <w:rFonts w:ascii="Times New Roman" w:hAnsi="Times New Roman" w:eastAsia="Times New Roman"/>
          <w:sz w:val="24"/>
        </w:rPr>
        <w:t xml:space="preserve"> </w:t>
      </w:r>
      <w:r>
        <w:rPr>
          <w:iCs/>
          <w:rFonts w:ascii="Times New Roman" w:hAnsi="Times New Roman" w:eastAsia="Times New Roman"/>
          <w:i/>
          <w:sz w:val="24"/>
        </w:rPr>
        <w:t xml:space="preserve">Cognition</w:t>
      </w:r>
      <w:r>
        <w:rPr>
          <w:rFonts w:ascii="Times New Roman" w:hAnsi="Times New Roman" w:eastAsia="Times New Roman"/>
          <w:sz w:val="24"/>
        </w:rPr>
        <w:t xml:space="preserve">, 68 (1), p. 1-76.</w:t>
      </w:r>
    </w:p>
    <w:p>
      <w:pPr>
        <w:pStyle w:val="BodyText"/>
        <w:jc w:val="both"/>
      </w:pPr>
      <w:r>
        <w:rPr>
          <w:rFonts w:ascii="Times New Roman" w:hAnsi="Times New Roman" w:eastAsia="Times New Roman"/>
          <w:sz w:val="24"/>
        </w:rPr>
        <w:t xml:space="preserve">Guillaume, B., de Marneffe, M.-C., Perrier, G. (2019), « Conversion et améliorations de corpus du français annotés en Universal Dependencies »,</w:t>
      </w:r>
      <w:r>
        <w:rPr>
          <w:rFonts w:ascii="Times New Roman" w:hAnsi="Times New Roman" w:eastAsia="Times New Roman"/>
          <w:sz w:val="24"/>
        </w:rPr>
        <w:t xml:space="preserve"> </w:t>
      </w:r>
      <w:r>
        <w:rPr>
          <w:iCs/>
          <w:rFonts w:ascii="Times New Roman" w:hAnsi="Times New Roman" w:eastAsia="Times New Roman"/>
          <w:i/>
          <w:sz w:val="24"/>
        </w:rPr>
        <w:t xml:space="preserve">Traitement automatique des langues</w:t>
      </w:r>
      <w:r>
        <w:rPr>
          <w:rFonts w:ascii="Times New Roman" w:hAnsi="Times New Roman" w:eastAsia="Times New Roman"/>
          <w:sz w:val="24"/>
        </w:rPr>
        <w:t xml:space="preserve">, 60 (2), p. 71-95.</w:t>
      </w:r>
    </w:p>
    <w:p>
      <w:pPr>
        <w:pStyle w:val="BodyText"/>
        <w:jc w:val="both"/>
      </w:pPr>
      <w:r>
        <w:rPr>
          <w:rFonts w:ascii="Times New Roman" w:hAnsi="Times New Roman" w:eastAsia="Times New Roman"/>
          <w:sz w:val="24"/>
        </w:rPr>
        <w:t xml:space="preserve">Hawkins, J. A. (1994),</w:t>
      </w:r>
      <w:r>
        <w:rPr>
          <w:rFonts w:ascii="Times New Roman" w:hAnsi="Times New Roman" w:eastAsia="Times New Roman"/>
          <w:sz w:val="24"/>
        </w:rPr>
        <w:t xml:space="preserve"> </w:t>
      </w:r>
      <w:r>
        <w:rPr>
          <w:iCs/>
          <w:rFonts w:ascii="Times New Roman" w:hAnsi="Times New Roman" w:eastAsia="Times New Roman"/>
          <w:i/>
          <w:sz w:val="24"/>
        </w:rPr>
        <w:t xml:space="preserve">A Performance Theory of Order and Constituency</w:t>
      </w:r>
      <w:r>
        <w:rPr>
          <w:rFonts w:ascii="Times New Roman" w:hAnsi="Times New Roman" w:eastAsia="Times New Roman"/>
          <w:sz w:val="24"/>
        </w:rPr>
        <w:t xml:space="preserve">, Cambridge University Press, Cambridge.</w:t>
      </w:r>
    </w:p>
    <w:p>
      <w:pPr>
        <w:pStyle w:val="BodyText"/>
        <w:jc w:val="both"/>
      </w:pPr>
      <w:r>
        <w:rPr>
          <w:rFonts w:ascii="Times New Roman" w:hAnsi="Times New Roman" w:eastAsia="Times New Roman"/>
          <w:sz w:val="24"/>
        </w:rPr>
        <w:t xml:space="preserve">Hawkins, J. A. (2004),</w:t>
      </w:r>
      <w:r>
        <w:rPr>
          <w:rFonts w:ascii="Times New Roman" w:hAnsi="Times New Roman" w:eastAsia="Times New Roman"/>
          <w:sz w:val="24"/>
        </w:rPr>
        <w:t xml:space="preserve"> </w:t>
      </w:r>
      <w:r>
        <w:rPr>
          <w:iCs/>
          <w:rFonts w:ascii="Times New Roman" w:hAnsi="Times New Roman" w:eastAsia="Times New Roman"/>
          <w:i/>
          <w:sz w:val="24"/>
        </w:rPr>
        <w:t xml:space="preserve">Efficiency and Complexity in Grammars</w:t>
      </w:r>
      <w:r>
        <w:rPr>
          <w:rFonts w:ascii="Times New Roman" w:hAnsi="Times New Roman" w:eastAsia="Times New Roman"/>
          <w:sz w:val="24"/>
        </w:rPr>
        <w:t xml:space="preserve">, Oxford University Press, Oxford.</w:t>
      </w:r>
    </w:p>
    <w:p>
      <w:pPr>
        <w:pStyle w:val="BodyText"/>
        <w:jc w:val="both"/>
      </w:pPr>
      <w:r>
        <w:rPr>
          <w:rFonts w:ascii="Times New Roman" w:hAnsi="Times New Roman" w:eastAsia="Times New Roman"/>
          <w:sz w:val="24"/>
        </w:rPr>
        <w:t xml:space="preserve">Hudson, R. (1995),</w:t>
      </w:r>
      <w:r>
        <w:rPr>
          <w:rFonts w:ascii="Times New Roman" w:hAnsi="Times New Roman" w:eastAsia="Times New Roman"/>
          <w:sz w:val="24"/>
        </w:rPr>
        <w:t xml:space="preserve"> </w:t>
      </w:r>
      <w:r>
        <w:rPr>
          <w:iCs/>
          <w:rFonts w:ascii="Times New Roman" w:hAnsi="Times New Roman" w:eastAsia="Times New Roman"/>
          <w:i/>
          <w:sz w:val="24"/>
        </w:rPr>
        <w:t xml:space="preserve">Measuring syntactic difficulty</w:t>
      </w:r>
      <w:r>
        <w:rPr>
          <w:rFonts w:ascii="Times New Roman" w:hAnsi="Times New Roman" w:eastAsia="Times New Roman"/>
          <w:sz w:val="24"/>
        </w:rPr>
        <w:t xml:space="preserve">, manuscrit, University College London.</w:t>
      </w:r>
    </w:p>
    <w:p>
      <w:pPr>
        <w:pStyle w:val="BodyText"/>
        <w:jc w:val="both"/>
      </w:pPr>
      <w:r>
        <w:rPr>
          <w:rFonts w:ascii="Times New Roman" w:hAnsi="Times New Roman" w:eastAsia="Times New Roman"/>
          <w:sz w:val="24"/>
        </w:rPr>
        <w:t xml:space="preserve">Jiang, J., Liu, H. (2015), « The effects of sentence length on dependency distance, dependency direction and the implications »,</w:t>
      </w:r>
      <w:r>
        <w:rPr>
          <w:rFonts w:ascii="Times New Roman" w:hAnsi="Times New Roman" w:eastAsia="Times New Roman"/>
          <w:sz w:val="24"/>
        </w:rPr>
        <w:t xml:space="preserve"> </w:t>
      </w:r>
      <w:r>
        <w:rPr>
          <w:iCs/>
          <w:rFonts w:ascii="Times New Roman" w:hAnsi="Times New Roman" w:eastAsia="Times New Roman"/>
          <w:i/>
          <w:sz w:val="24"/>
        </w:rPr>
        <w:t xml:space="preserve">Language Sciences</w:t>
      </w:r>
      <w:r>
        <w:rPr>
          <w:rFonts w:ascii="Times New Roman" w:hAnsi="Times New Roman" w:eastAsia="Times New Roman"/>
          <w:sz w:val="24"/>
        </w:rPr>
        <w:t xml:space="preserve">, 50, p. 93-104.</w:t>
      </w:r>
    </w:p>
    <w:p>
      <w:pPr>
        <w:pStyle w:val="BodyText"/>
        <w:jc w:val="both"/>
      </w:pPr>
      <w:r>
        <w:rPr>
          <w:rFonts w:ascii="Times New Roman" w:hAnsi="Times New Roman" w:eastAsia="Times New Roman"/>
          <w:sz w:val="24"/>
        </w:rPr>
        <w:t xml:space="preserve">Kahane, S. (2001), « Grammaires de dépendance formelles et théorie Sens-Texte », tutoriel,</w:t>
      </w:r>
      <w:r>
        <w:rPr>
          <w:rFonts w:ascii="Times New Roman" w:hAnsi="Times New Roman" w:eastAsia="Times New Roman"/>
          <w:sz w:val="24"/>
        </w:rPr>
        <w:t xml:space="preserve"> </w:t>
      </w:r>
      <w:r>
        <w:rPr>
          <w:iCs/>
          <w:rFonts w:ascii="Times New Roman" w:hAnsi="Times New Roman" w:eastAsia="Times New Roman"/>
          <w:i/>
          <w:sz w:val="24"/>
        </w:rPr>
        <w:t xml:space="preserve">in</w:t>
      </w:r>
      <w:r>
        <w:rPr>
          <w:rFonts w:ascii="Times New Roman" w:hAnsi="Times New Roman" w:eastAsia="Times New Roman"/>
          <w:sz w:val="24"/>
        </w:rPr>
        <w:t xml:space="preserve"> </w:t>
      </w:r>
      <w:r>
        <w:rPr>
          <w:iCs/>
          <w:rFonts w:ascii="Times New Roman" w:hAnsi="Times New Roman" w:eastAsia="Times New Roman"/>
          <w:i/>
          <w:sz w:val="24"/>
        </w:rPr>
        <w:t xml:space="preserve">Actes de la conférence TALN 2001</w:t>
      </w:r>
      <w:r>
        <w:rPr>
          <w:rFonts w:ascii="Times New Roman" w:hAnsi="Times New Roman" w:eastAsia="Times New Roman"/>
          <w:sz w:val="24"/>
        </w:rPr>
        <w:t xml:space="preserve">, Tours.</w:t>
      </w:r>
    </w:p>
    <w:p>
      <w:pPr>
        <w:pStyle w:val="BodyText"/>
        <w:jc w:val="both"/>
      </w:pPr>
      <w:r>
        <w:rPr>
          <w:rFonts w:ascii="Times New Roman" w:hAnsi="Times New Roman" w:eastAsia="Times New Roman"/>
          <w:sz w:val="24"/>
        </w:rPr>
        <w:t xml:space="preserve">Kahane, S., Gerdes, K. (2020), « Annotation syntaxique de français parlé : les choix d’Orféo »,</w:t>
      </w:r>
      <w:r>
        <w:rPr>
          <w:rFonts w:ascii="Times New Roman" w:hAnsi="Times New Roman" w:eastAsia="Times New Roman"/>
          <w:sz w:val="24"/>
        </w:rPr>
        <w:t xml:space="preserve"> </w:t>
      </w:r>
      <w:r>
        <w:rPr>
          <w:iCs/>
          <w:rFonts w:ascii="Times New Roman" w:hAnsi="Times New Roman" w:eastAsia="Times New Roman"/>
          <w:i/>
          <w:sz w:val="24"/>
        </w:rPr>
        <w:t xml:space="preserve">Langages</w:t>
      </w:r>
      <w:r>
        <w:rPr>
          <w:rFonts w:ascii="Times New Roman" w:hAnsi="Times New Roman" w:eastAsia="Times New Roman"/>
          <w:sz w:val="24"/>
        </w:rPr>
        <w:t xml:space="preserve">, 219 (Debaisieux, J.-M., Benzitoun, C. (eds.),</w:t>
      </w:r>
      <w:r>
        <w:rPr>
          <w:rFonts w:ascii="Times New Roman" w:hAnsi="Times New Roman" w:eastAsia="Times New Roman"/>
          <w:sz w:val="24"/>
        </w:rPr>
        <w:t xml:space="preserve"> </w:t>
      </w:r>
      <w:r>
        <w:rPr>
          <w:iCs/>
          <w:rFonts w:ascii="Times New Roman" w:hAnsi="Times New Roman" w:eastAsia="Times New Roman"/>
          <w:i/>
          <w:sz w:val="24"/>
        </w:rPr>
        <w:t xml:space="preserve">Orféo : un corpus et une plateforme pour l’étude du français contemporain</w:t>
      </w:r>
      <w:r>
        <w:rPr>
          <w:rFonts w:ascii="Times New Roman" w:hAnsi="Times New Roman" w:eastAsia="Times New Roman"/>
          <w:sz w:val="24"/>
        </w:rPr>
        <w:t xml:space="preserve">), p. 69-86.</w:t>
      </w:r>
    </w:p>
    <w:p>
      <w:pPr>
        <w:pStyle w:val="BodyText"/>
        <w:jc w:val="both"/>
      </w:pPr>
      <w:r>
        <w:rPr>
          <w:rFonts w:ascii="Times New Roman" w:hAnsi="Times New Roman" w:eastAsia="Times New Roman"/>
          <w:sz w:val="24"/>
        </w:rPr>
        <w:t xml:space="preserve">Koch, P., Oesterreicher, W. (2001), « Langage parlé et langage écrit »,</w:t>
      </w:r>
      <w:r>
        <w:rPr>
          <w:rFonts w:ascii="Times New Roman" w:hAnsi="Times New Roman" w:eastAsia="Times New Roman"/>
          <w:sz w:val="24"/>
        </w:rPr>
        <w:t xml:space="preserve"> </w:t>
      </w:r>
      <w:r>
        <w:rPr>
          <w:iCs/>
          <w:rFonts w:ascii="Times New Roman" w:hAnsi="Times New Roman" w:eastAsia="Times New Roman"/>
          <w:i/>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Holtus, G., Metzeltin, M., Schmitt, C. (eds.),</w:t>
      </w:r>
      <w:r>
        <w:rPr>
          <w:rFonts w:ascii="Times New Roman" w:hAnsi="Times New Roman" w:eastAsia="Times New Roman"/>
          <w:sz w:val="24"/>
        </w:rPr>
        <w:t xml:space="preserve"> </w:t>
      </w:r>
      <w:r>
        <w:rPr>
          <w:iCs/>
          <w:rFonts w:ascii="Times New Roman" w:hAnsi="Times New Roman" w:eastAsia="Times New Roman"/>
          <w:i/>
          <w:sz w:val="24"/>
        </w:rPr>
        <w:t xml:space="preserve">Lexikon der romanistischen Linguistik</w:t>
      </w:r>
      <w:r>
        <w:rPr>
          <w:rFonts w:ascii="Times New Roman" w:hAnsi="Times New Roman" w:eastAsia="Times New Roman"/>
          <w:sz w:val="24"/>
        </w:rPr>
        <w:t xml:space="preserve">, vol. I-2, Niemeyer, Tübingen, p. 584-627.</w:t>
      </w:r>
    </w:p>
    <w:p>
      <w:pPr>
        <w:pStyle w:val="BodyText"/>
        <w:jc w:val="both"/>
      </w:pPr>
      <w:r>
        <w:rPr>
          <w:rFonts w:ascii="Times New Roman" w:hAnsi="Times New Roman" w:eastAsia="Times New Roman"/>
          <w:sz w:val="24"/>
        </w:rPr>
        <w:t xml:space="preserve">Kahane, S., Yan, C., Botalla, M.-A. (2017), « What are the limitations on the flux of syntactic dependencies? Evidence from UD treebanks »,</w:t>
      </w:r>
      <w:r>
        <w:rPr>
          <w:rFonts w:ascii="Times New Roman" w:hAnsi="Times New Roman" w:eastAsia="Times New Roman"/>
          <w:sz w:val="24"/>
        </w:rPr>
        <w:t xml:space="preserve"> </w:t>
      </w:r>
      <w:r>
        <w:rPr>
          <w:iCs/>
          <w:rFonts w:ascii="Times New Roman" w:hAnsi="Times New Roman" w:eastAsia="Times New Roman"/>
          <w:i/>
          <w:sz w:val="24"/>
        </w:rPr>
        <w:t xml:space="preserve">in</w:t>
      </w:r>
      <w:r>
        <w:rPr>
          <w:rFonts w:ascii="Times New Roman" w:hAnsi="Times New Roman" w:eastAsia="Times New Roman"/>
          <w:sz w:val="24"/>
        </w:rPr>
        <w:t xml:space="preserve"> </w:t>
      </w:r>
      <w:r>
        <w:rPr>
          <w:iCs/>
          <w:rFonts w:ascii="Times New Roman" w:hAnsi="Times New Roman" w:eastAsia="Times New Roman"/>
          <w:i/>
          <w:sz w:val="24"/>
        </w:rPr>
        <w:t xml:space="preserve">Proceedings of the Fourth International Conference on Dependency Linguistics (Depling 2017)</w:t>
      </w:r>
      <w:r>
        <w:rPr>
          <w:rFonts w:ascii="Times New Roman" w:hAnsi="Times New Roman" w:eastAsia="Times New Roman"/>
          <w:sz w:val="24"/>
        </w:rPr>
        <w:t xml:space="preserve">, Pise, p. 73-82.</w:t>
      </w:r>
    </w:p>
    <w:p>
      <w:pPr>
        <w:pStyle w:val="BodyText"/>
        <w:jc w:val="both"/>
      </w:pPr>
      <w:r>
        <w:rPr>
          <w:rFonts w:ascii="Times New Roman" w:hAnsi="Times New Roman" w:eastAsia="Times New Roman"/>
          <w:sz w:val="24"/>
        </w:rPr>
        <w:t xml:space="preserve">Lacheret, A., Kahane, S., Beliao, J., Dister, A., Gerdes, K., Goldman, J.-P., Obin, N., Pietrandrea, P., Tchobanov, A. (2014), « Rhapsodie: a prosodic-syntactic treebank for spoken French »,</w:t>
      </w:r>
      <w:r>
        <w:rPr>
          <w:rFonts w:ascii="Times New Roman" w:hAnsi="Times New Roman" w:eastAsia="Times New Roman"/>
          <w:sz w:val="24"/>
        </w:rPr>
        <w:t xml:space="preserve"> </w:t>
      </w:r>
      <w:r>
        <w:rPr>
          <w:iCs/>
          <w:rFonts w:ascii="Times New Roman" w:hAnsi="Times New Roman" w:eastAsia="Times New Roman"/>
          <w:i/>
          <w:sz w:val="24"/>
        </w:rPr>
        <w:t xml:space="preserve">in</w:t>
      </w:r>
      <w:r>
        <w:rPr>
          <w:rFonts w:ascii="Times New Roman" w:hAnsi="Times New Roman" w:eastAsia="Times New Roman"/>
          <w:sz w:val="24"/>
        </w:rPr>
        <w:t xml:space="preserve"> </w:t>
      </w:r>
      <w:r>
        <w:rPr>
          <w:iCs/>
          <w:rFonts w:ascii="Times New Roman" w:hAnsi="Times New Roman" w:eastAsia="Times New Roman"/>
          <w:i/>
          <w:sz w:val="24"/>
        </w:rPr>
        <w:t xml:space="preserve">Proceedings of LREC 2014</w:t>
      </w:r>
      <w:r>
        <w:rPr>
          <w:rFonts w:ascii="Times New Roman" w:hAnsi="Times New Roman" w:eastAsia="Times New Roman"/>
          <w:sz w:val="24"/>
        </w:rPr>
        <w:t xml:space="preserve">, Reykjavik, p. 295-301.</w:t>
      </w:r>
    </w:p>
    <w:p>
      <w:pPr>
        <w:pStyle w:val="BodyText"/>
        <w:jc w:val="both"/>
      </w:pPr>
      <w:r>
        <w:rPr>
          <w:rFonts w:ascii="Times New Roman" w:hAnsi="Times New Roman" w:eastAsia="Times New Roman"/>
          <w:sz w:val="24"/>
        </w:rPr>
        <w:t xml:space="preserve">Liu, H. (2008), « Dependency distance as a metric of language comprehension difficulty »,</w:t>
      </w:r>
      <w:r>
        <w:rPr>
          <w:rFonts w:ascii="Times New Roman" w:hAnsi="Times New Roman" w:eastAsia="Times New Roman"/>
          <w:sz w:val="24"/>
        </w:rPr>
        <w:t xml:space="preserve"> </w:t>
      </w:r>
      <w:r>
        <w:rPr>
          <w:iCs/>
          <w:rFonts w:ascii="Times New Roman" w:hAnsi="Times New Roman" w:eastAsia="Times New Roman"/>
          <w:i/>
          <w:sz w:val="24"/>
        </w:rPr>
        <w:t xml:space="preserve">Journal of Cognitive Science</w:t>
      </w:r>
      <w:r>
        <w:rPr>
          <w:rFonts w:ascii="Times New Roman" w:hAnsi="Times New Roman" w:eastAsia="Times New Roman"/>
          <w:sz w:val="24"/>
        </w:rPr>
        <w:t xml:space="preserve">, 9 (2), p. 159-191.</w:t>
      </w:r>
    </w:p>
    <w:p>
      <w:pPr>
        <w:pStyle w:val="BodyText"/>
        <w:jc w:val="both"/>
      </w:pPr>
      <w:r>
        <w:rPr>
          <w:rFonts w:ascii="Times New Roman" w:hAnsi="Times New Roman" w:eastAsia="Times New Roman"/>
          <w:sz w:val="24"/>
        </w:rPr>
        <w:t xml:space="preserve">Mandelbrot, B. (1953), « An informational theory of the statistical structure of language »,</w:t>
      </w:r>
      <w:r>
        <w:rPr>
          <w:rFonts w:ascii="Times New Roman" w:hAnsi="Times New Roman" w:eastAsia="Times New Roman"/>
          <w:sz w:val="24"/>
        </w:rPr>
        <w:t xml:space="preserve"> </w:t>
      </w:r>
      <w:r>
        <w:rPr>
          <w:iCs/>
          <w:rFonts w:ascii="Times New Roman" w:hAnsi="Times New Roman" w:eastAsia="Times New Roman"/>
          <w:i/>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Jackson, W. (ed.),</w:t>
      </w:r>
      <w:r>
        <w:rPr>
          <w:rFonts w:ascii="Times New Roman" w:hAnsi="Times New Roman" w:eastAsia="Times New Roman"/>
          <w:sz w:val="24"/>
        </w:rPr>
        <w:t xml:space="preserve"> </w:t>
      </w:r>
      <w:r>
        <w:rPr>
          <w:iCs/>
          <w:rFonts w:ascii="Times New Roman" w:hAnsi="Times New Roman" w:eastAsia="Times New Roman"/>
          <w:i/>
          <w:sz w:val="24"/>
        </w:rPr>
        <w:t xml:space="preserve">Communication Theory</w:t>
      </w:r>
      <w:r>
        <w:rPr>
          <w:rFonts w:ascii="Times New Roman" w:hAnsi="Times New Roman" w:eastAsia="Times New Roman"/>
          <w:sz w:val="24"/>
        </w:rPr>
        <w:t xml:space="preserve">, Butterworths, Londres, p. 486-502.</w:t>
      </w:r>
    </w:p>
    <w:p>
      <w:pPr>
        <w:pStyle w:val="BodyText"/>
        <w:jc w:val="both"/>
      </w:pPr>
      <w:r>
        <w:rPr>
          <w:rFonts w:ascii="Times New Roman" w:hAnsi="Times New Roman" w:eastAsia="Times New Roman"/>
          <w:sz w:val="24"/>
        </w:rPr>
        <w:t xml:space="preserve">Miller, G. A. (1956), « The magical number seven, plus or minus two: Some limits on our capacity for processing information »,</w:t>
      </w:r>
      <w:r>
        <w:rPr>
          <w:rFonts w:ascii="Times New Roman" w:hAnsi="Times New Roman" w:eastAsia="Times New Roman"/>
          <w:sz w:val="24"/>
        </w:rPr>
        <w:t xml:space="preserve"> </w:t>
      </w:r>
      <w:r>
        <w:rPr>
          <w:iCs/>
          <w:rFonts w:ascii="Times New Roman" w:hAnsi="Times New Roman" w:eastAsia="Times New Roman"/>
          <w:i/>
          <w:sz w:val="24"/>
        </w:rPr>
        <w:t xml:space="preserve">Psychological Review</w:t>
      </w:r>
      <w:r>
        <w:rPr>
          <w:rFonts w:ascii="Times New Roman" w:hAnsi="Times New Roman" w:eastAsia="Times New Roman"/>
          <w:sz w:val="24"/>
        </w:rPr>
        <w:t xml:space="preserve">, 63 (2), p. 81-97.</w:t>
      </w:r>
    </w:p>
    <w:p>
      <w:pPr>
        <w:pStyle w:val="BodyText"/>
        <w:jc w:val="both"/>
      </w:pPr>
      <w:r>
        <w:rPr>
          <w:rFonts w:ascii="Times New Roman" w:hAnsi="Times New Roman" w:eastAsia="Times New Roman"/>
          <w:sz w:val="24"/>
        </w:rPr>
        <w:t xml:space="preserve">Pietrandrea, P., Kahane, S., Lacheret, A., Sabio, F. (2014), « The notion of sentence and other discourse units in corpus annotation »,</w:t>
      </w:r>
      <w:r>
        <w:rPr>
          <w:rFonts w:ascii="Times New Roman" w:hAnsi="Times New Roman" w:eastAsia="Times New Roman"/>
          <w:sz w:val="24"/>
        </w:rPr>
        <w:t xml:space="preserve"> </w:t>
      </w:r>
      <w:r>
        <w:rPr>
          <w:iCs/>
          <w:rFonts w:ascii="Times New Roman" w:hAnsi="Times New Roman" w:eastAsia="Times New Roman"/>
          <w:i/>
          <w:sz w:val="24"/>
        </w:rPr>
        <w:t xml:space="preserve">in</w:t>
      </w:r>
      <w:r>
        <w:rPr>
          <w:rFonts w:ascii="Times New Roman" w:hAnsi="Times New Roman" w:eastAsia="Times New Roman"/>
          <w:sz w:val="24"/>
        </w:rPr>
        <w:t xml:space="preserve"> </w:t>
      </w:r>
      <w:r>
        <w:rPr>
          <w:rFonts w:ascii="Times New Roman" w:hAnsi="Times New Roman" w:eastAsia="Times New Roman"/>
          <w:sz w:val="24"/>
        </w:rPr>
        <w:t xml:space="preserve">Raso, T., Mello, H. (eds.),</w:t>
      </w:r>
      <w:r>
        <w:rPr>
          <w:rFonts w:ascii="Times New Roman" w:hAnsi="Times New Roman" w:eastAsia="Times New Roman"/>
          <w:sz w:val="24"/>
        </w:rPr>
        <w:t xml:space="preserve"> </w:t>
      </w:r>
      <w:r>
        <w:rPr>
          <w:iCs/>
          <w:rFonts w:ascii="Times New Roman" w:hAnsi="Times New Roman" w:eastAsia="Times New Roman"/>
          <w:i/>
          <w:sz w:val="24"/>
        </w:rPr>
        <w:t xml:space="preserve">Spoken Corpora and Linguistic Studies</w:t>
      </w:r>
      <w:r>
        <w:rPr>
          <w:rFonts w:ascii="Times New Roman" w:hAnsi="Times New Roman" w:eastAsia="Times New Roman"/>
          <w:sz w:val="24"/>
        </w:rPr>
        <w:t xml:space="preserve">, John Benjamins, Amsterdam, p. 331-364.</w:t>
      </w:r>
    </w:p>
    <w:p>
      <w:pPr>
        <w:pStyle w:val="BodyText"/>
        <w:jc w:val="both"/>
      </w:pPr>
      <w:r>
        <w:rPr>
          <w:rFonts w:ascii="Times New Roman" w:hAnsi="Times New Roman" w:eastAsia="Times New Roman"/>
          <w:sz w:val="24"/>
        </w:rPr>
        <w:t xml:space="preserve">Petrini, S., Ferrer-i-Cancho, R. (2025), « The distribution of syntactic dependency distances »,</w:t>
      </w:r>
      <w:r>
        <w:rPr>
          <w:rFonts w:ascii="Times New Roman" w:hAnsi="Times New Roman" w:eastAsia="Times New Roman"/>
          <w:sz w:val="24"/>
        </w:rPr>
        <w:t xml:space="preserve"> </w:t>
      </w:r>
      <w:r>
        <w:rPr>
          <w:iCs/>
          <w:rFonts w:ascii="Times New Roman" w:hAnsi="Times New Roman" w:eastAsia="Times New Roman"/>
          <w:i/>
          <w:sz w:val="24"/>
        </w:rPr>
        <w:t xml:space="preserve">Glottometrics</w:t>
      </w:r>
      <w:r>
        <w:rPr>
          <w:rFonts w:ascii="Times New Roman" w:hAnsi="Times New Roman" w:eastAsia="Times New Roman"/>
          <w:sz w:val="24"/>
        </w:rPr>
        <w:t xml:space="preserve">, 58, p. 35-94.</w:t>
      </w:r>
    </w:p>
    <w:p>
      <w:pPr>
        <w:pStyle w:val="BodyText"/>
        <w:jc w:val="both"/>
      </w:pPr>
      <w:r>
        <w:rPr>
          <w:rFonts w:ascii="Times New Roman" w:hAnsi="Times New Roman" w:eastAsia="Times New Roman"/>
          <w:sz w:val="24"/>
        </w:rPr>
        <w:t xml:space="preserve">Reich, P. A. (1969), « The finiteness of natural language »,</w:t>
      </w:r>
      <w:r>
        <w:rPr>
          <w:rFonts w:ascii="Times New Roman" w:hAnsi="Times New Roman" w:eastAsia="Times New Roman"/>
          <w:sz w:val="24"/>
        </w:rPr>
        <w:t xml:space="preserve"> </w:t>
      </w:r>
      <w:r>
        <w:rPr>
          <w:iCs/>
          <w:rFonts w:ascii="Times New Roman" w:hAnsi="Times New Roman" w:eastAsia="Times New Roman"/>
          <w:i/>
          <w:sz w:val="24"/>
        </w:rPr>
        <w:t xml:space="preserve">Language</w:t>
      </w:r>
      <w:r>
        <w:rPr>
          <w:rFonts w:ascii="Times New Roman" w:hAnsi="Times New Roman" w:eastAsia="Times New Roman"/>
          <w:sz w:val="24"/>
        </w:rPr>
        <w:t xml:space="preserve">, 45 (4), p. 831-843.</w:t>
      </w:r>
    </w:p>
    <w:p>
      <w:pPr>
        <w:pStyle w:val="BodyText"/>
        <w:jc w:val="both"/>
      </w:pPr>
      <w:r>
        <w:rPr>
          <w:rFonts w:ascii="Times New Roman" w:hAnsi="Times New Roman" w:eastAsia="Times New Roman"/>
          <w:sz w:val="24"/>
        </w:rPr>
        <w:t xml:space="preserve">Ross, J. R. (1967),</w:t>
      </w:r>
      <w:r>
        <w:rPr>
          <w:rFonts w:ascii="Times New Roman" w:hAnsi="Times New Roman" w:eastAsia="Times New Roman"/>
          <w:sz w:val="24"/>
        </w:rPr>
        <w:t xml:space="preserve"> </w:t>
      </w:r>
      <w:r>
        <w:rPr>
          <w:iCs/>
          <w:rFonts w:ascii="Times New Roman" w:hAnsi="Times New Roman" w:eastAsia="Times New Roman"/>
          <w:i/>
          <w:sz w:val="24"/>
        </w:rPr>
        <w:t xml:space="preserve">Constraints on Variables in Syntax</w:t>
      </w:r>
      <w:r>
        <w:rPr>
          <w:rFonts w:ascii="Times New Roman" w:hAnsi="Times New Roman" w:eastAsia="Times New Roman"/>
          <w:sz w:val="24"/>
        </w:rPr>
        <w:t xml:space="preserve">, thèse de doctorat, Massachusetts Institute of Technology.</w:t>
      </w:r>
    </w:p>
    <w:p>
      <w:pPr>
        <w:pStyle w:val="BodyText"/>
        <w:jc w:val="both"/>
      </w:pPr>
      <w:r>
        <w:rPr>
          <w:rFonts w:ascii="Times New Roman" w:hAnsi="Times New Roman" w:eastAsia="Times New Roman"/>
          <w:sz w:val="24"/>
        </w:rPr>
        <w:t xml:space="preserve">Temperley, D. (2008), « Dependency-length minimization in natural and artificial languages »,</w:t>
      </w:r>
      <w:r>
        <w:rPr>
          <w:rFonts w:ascii="Times New Roman" w:hAnsi="Times New Roman" w:eastAsia="Times New Roman"/>
          <w:sz w:val="24"/>
        </w:rPr>
        <w:t xml:space="preserve"> </w:t>
      </w:r>
      <w:r>
        <w:rPr>
          <w:iCs/>
          <w:rFonts w:ascii="Times New Roman" w:hAnsi="Times New Roman" w:eastAsia="Times New Roman"/>
          <w:i/>
          <w:sz w:val="24"/>
        </w:rPr>
        <w:t xml:space="preserve">Journal of Quantitative Linguistics</w:t>
      </w:r>
      <w:r>
        <w:rPr>
          <w:rFonts w:ascii="Times New Roman" w:hAnsi="Times New Roman" w:eastAsia="Times New Roman"/>
          <w:sz w:val="24"/>
        </w:rPr>
        <w:t xml:space="preserve">, 15 (3), p. 256-282.</w:t>
      </w:r>
    </w:p>
    <w:p>
      <w:pPr>
        <w:pStyle w:val="BodyText"/>
        <w:jc w:val="both"/>
      </w:pPr>
      <w:r>
        <w:rPr>
          <w:rFonts w:ascii="Times New Roman" w:hAnsi="Times New Roman" w:eastAsia="Times New Roman"/>
          <w:sz w:val="24"/>
        </w:rPr>
        <w:t xml:space="preserve">Yan, C. (2021),</w:t>
      </w:r>
      <w:r>
        <w:rPr>
          <w:rFonts w:ascii="Times New Roman" w:hAnsi="Times New Roman" w:eastAsia="Times New Roman"/>
          <w:sz w:val="24"/>
        </w:rPr>
        <w:t xml:space="preserve"> </w:t>
      </w:r>
      <w:r>
        <w:rPr>
          <w:iCs/>
          <w:rFonts w:ascii="Times New Roman" w:hAnsi="Times New Roman" w:eastAsia="Times New Roman"/>
          <w:i/>
          <w:sz w:val="24"/>
        </w:rPr>
        <w:t xml:space="preserve">Complexité syntaxique et flux de dépendance : études quantitatives dans les treebanks Universal Dependencies</w:t>
      </w:r>
      <w:r>
        <w:rPr>
          <w:rFonts w:ascii="Times New Roman" w:hAnsi="Times New Roman" w:eastAsia="Times New Roman"/>
          <w:sz w:val="24"/>
        </w:rPr>
        <w:t xml:space="preserve">, thèse de doctorat, Université Paris Nanterre.</w:t>
      </w:r>
    </w:p>
    <w:bookmarkEnd w:id="71"/>
    <w:sectPr w:rsidR="002A5DD1" w:rsidRPr="005D0F3B" w:rsidSect="00D67F48">
      <w:pgSz w:h="16838" w:w="11906"/>
      <w:pgMar w:bottom="1417" w:footer="708" w:gutter="0" w:header="708" w:left="1417" w:right="1417" w:top="1417"/>
      <w:cols w:space="708"/>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TimesNewRomanPS-BoldMT">
    <w:altName w:val="Times New Roman"/>
    <w:charset w:val="00"/>
    <w:family w:val="auto"/>
    <w:pitch w:val="default"/>
  </w:font>
  <w:font w:name="TimesNewRomanPSMT">
    <w:altName w:val="Times New Roman"/>
    <w:charset w:val="00"/>
    <w:family w:val="roman"/>
    <w:pitch w:val="variable"/>
    <w:sig w:usb0="E0002AEF" w:usb1="C0007841"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Times New Roman" w:hAnsi="Times New Roman"/>
          <w:sz w:val="20"/>
        </w:rPr>
        <w:continuationSeparator/>
      </w:r>
    </w:p>
  </w:footnote>
  <w:footnote w:type="separator" w:id="-1">
    <w:p>
      <w:r>
        <w:rPr>
          <w:rFonts w:ascii="Times New Roman" w:hAnsi="Times New Roman"/>
          <w:sz w:val="20"/>
        </w:rPr>
        <w:separator/>
      </w:r>
    </w:p>
  </w:footnote>
  <w:footnote w:id="20">
    <w:p>
      <w:pPr>
        <w:pStyle w:val="FootnoteText"/>
      </w:pPr>
      <w:r>
        <w:rPr>
          <w:rStyle w:val="FootnoteReference"/>
          <w:rFonts w:ascii="Times New Roman" w:hAnsi="Times New Roman"/>
          <w:sz w:val="20"/>
        </w:rPr>
        <w:footnoteRef/>
      </w:r>
      <w:r>
        <w:rPr>
          <w:rFonts w:ascii="Times New Roman" w:hAnsi="Times New Roman"/>
          <w:sz w:val="20"/>
        </w:rPr>
        <w:t xml:space="preserve"> </w:t>
      </w:r>
      <w:r>
        <w:rPr>
          <w:rFonts w:ascii="Times New Roman" w:hAnsi="Times New Roman"/>
          <w:sz w:val="20"/>
        </w:rPr>
        <w:t xml:space="preserve">Université Paris Nanterre, Modyco, CNRS ; IUF – Institut Universitaire de France ; [courriel].</w:t>
      </w:r>
    </w:p>
  </w:footnote>
  <w:footnote w:id="21">
    <w:p>
      <w:pPr>
        <w:pStyle w:val="FootnoteText"/>
      </w:pPr>
      <w:r>
        <w:rPr>
          <w:rStyle w:val="FootnoteReference"/>
          <w:rFonts w:ascii="Times New Roman" w:hAnsi="Times New Roman"/>
          <w:sz w:val="20"/>
        </w:rPr>
        <w:footnoteRef/>
      </w:r>
      <w:r>
        <w:rPr>
          <w:rFonts w:ascii="Times New Roman" w:hAnsi="Times New Roman"/>
          <w:sz w:val="20"/>
        </w:rPr>
        <w:t xml:space="preserve"> </w:t>
      </w:r>
      <w:r>
        <w:rPr>
          <w:rFonts w:ascii="Times New Roman" w:hAnsi="Times New Roman"/>
          <w:sz w:val="20"/>
        </w:rPr>
        <w:t xml:space="preserve">Université Paris-Saclay, CNRS, Laboratoire interdisciplinaire des sciences du numérique (LISN), Orsay, France ; [courriel].</w:t>
      </w:r>
    </w:p>
  </w:footnote>
  <w:footnote w:id="35">
    <w:p>
      <w:pPr>
        <w:pStyle w:val="FootnoteText"/>
      </w:pPr>
      <w:r>
        <w:rPr>
          <w:rStyle w:val="FootnoteReference"/>
          <w:rFonts w:ascii="Times New Roman" w:hAnsi="Times New Roman"/>
          <w:sz w:val="20"/>
        </w:rPr>
        <w:footnoteRef/>
      </w:r>
      <w:r>
        <w:rPr>
          <w:rFonts w:ascii="Times New Roman" w:hAnsi="Times New Roman"/>
          <w:sz w:val="20"/>
        </w:rPr>
        <w:t xml:space="preserve"> </w:t>
      </w:r>
      <w:r>
        <w:rPr>
          <w:rFonts w:ascii="Times New Roman" w:hAnsi="Times New Roman"/>
          <w:sz w:val="20"/>
        </w:rPr>
        <w:t xml:space="preserve">L’estimation maximise la vraisemblance des effectifs observés (algorithme de Nelder–Mead de la bibliothèque SciPy) ; les calculs ont été programmés avec l’assistant Claude (Anthropic) et sont vérifiables sur le site compagnon (https://typometrics.github.io/flux-oral-ecrit/), qui donne aussi les corpus tels qu’ils ont été analysés.</w:t>
      </w:r>
    </w:p>
  </w:footnote>
  <w:footnote w:id="42">
    <w:p>
      <w:pPr>
        <w:pStyle w:val="FootnoteText"/>
      </w:pPr>
      <w:r>
        <w:rPr>
          <w:rStyle w:val="FootnoteReference"/>
          <w:rFonts w:ascii="Times New Roman" w:hAnsi="Times New Roman"/>
          <w:sz w:val="20"/>
        </w:rPr>
        <w:footnoteRef/>
      </w:r>
      <w:r>
        <w:rPr>
          <w:rFonts w:ascii="Times New Roman" w:hAnsi="Times New Roman"/>
          <w:sz w:val="20"/>
        </w:rPr>
        <w:t xml:space="preserve"> </w:t>
      </w:r>
      <w:r>
        <w:rPr>
          <w:rFonts w:ascii="Times New Roman" w:hAnsi="Times New Roman"/>
          <w:sz w:val="20"/>
        </w:rPr>
        <w:t xml:space="preserve">Dans CEFC-gold, les relations correspondantes sont</w:t>
      </w:r>
      <w:r>
        <w:rPr>
          <w:rFonts w:ascii="Times New Roman" w:hAnsi="Times New Roman"/>
          <w:sz w:val="20"/>
        </w:rPr>
        <w:t xml:space="preserve"> </w:t>
      </w:r>
      <w:r>
        <w:rPr>
          <w:rStyle w:val="VerbatimChar"/>
          <w:rFonts w:ascii="Times New Roman" w:hAnsi="Times New Roman"/>
          <w:sz w:val="20"/>
        </w:rPr>
        <w:t xml:space="preserve">dm</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parenth</w:t>
      </w:r>
      <w:r>
        <w:rPr>
          <w:rFonts w:ascii="Times New Roman" w:hAnsi="Times New Roman"/>
          <w:sz w:val="20"/>
        </w:rPr>
        <w:t xml:space="preserve"> </w:t>
      </w:r>
      <w:r>
        <w:rPr>
          <w:rFonts w:ascii="Times New Roman" w:hAnsi="Times New Roman"/>
          <w:sz w:val="20"/>
        </w:rPr>
        <w:t xml:space="preserve">et</w:t>
      </w:r>
      <w:r>
        <w:rPr>
          <w:rFonts w:ascii="Times New Roman" w:hAnsi="Times New Roman"/>
          <w:sz w:val="20"/>
        </w:rPr>
        <w:t xml:space="preserve"> </w:t>
      </w:r>
      <w:r>
        <w:rPr>
          <w:rStyle w:val="VerbatimChar"/>
          <w:rFonts w:ascii="Times New Roman" w:hAnsi="Times New Roman"/>
          <w:sz w:val="20"/>
        </w:rPr>
        <w:t xml:space="preserve">periph</w:t>
      </w:r>
      <w:r>
        <w:rPr>
          <w:rFonts w:ascii="Times New Roman" w:hAnsi="Times New Roman"/>
          <w:sz w:val="20"/>
        </w:rPr>
        <w:t xml:space="preserve">.</w:t>
      </w:r>
    </w:p>
  </w:footnote>
  <w:footnote w:id="47">
    <w:p>
      <w:pPr>
        <w:pStyle w:val="FootnoteText"/>
      </w:pPr>
      <w:r>
        <w:rPr>
          <w:rStyle w:val="FootnoteReference"/>
          <w:rFonts w:ascii="Times New Roman" w:hAnsi="Times New Roman"/>
          <w:sz w:val="20"/>
        </w:rPr>
        <w:footnoteRef/>
      </w:r>
      <w:r>
        <w:rPr>
          <w:rFonts w:ascii="Times New Roman" w:hAnsi="Times New Roman"/>
          <w:sz w:val="20"/>
        </w:rPr>
        <w:t xml:space="preserve"> </w:t>
      </w:r>
      <w:r>
        <w:rPr>
          <w:rFonts w:ascii="Times New Roman" w:hAnsi="Times New Roman"/>
          <w:sz w:val="20"/>
        </w:rPr>
        <w:t xml:space="preserve">Pour les corpus oraux, la vue ContentUD est calculée sur la conversion automatique en UD fournie par Grew-match (corpus</w:t>
      </w:r>
      <w:r>
        <w:rPr>
          <w:rFonts w:ascii="Times New Roman" w:hAnsi="Times New Roman"/>
          <w:sz w:val="20"/>
        </w:rPr>
        <w:t xml:space="preserve"> </w:t>
      </w:r>
      <w:r>
        <w:rPr>
          <w:rStyle w:val="VerbatimChar"/>
          <w:rFonts w:ascii="Times New Roman" w:hAnsi="Times New Roman"/>
          <w:sz w:val="20"/>
        </w:rPr>
        <w:t xml:space="preserve">UD_French-…@conv</w:t>
      </w:r>
      <w:r>
        <w:rPr>
          <w:rFonts w:ascii="Times New Roman" w:hAnsi="Times New Roman"/>
          <w:sz w:val="20"/>
        </w:rPr>
        <w:t xml:space="preserve">) ; pour les corpus écrits segmentés, qui n’ont pas de version convertie, elle est dérivée de l’arbre SUD par nos soins. La longueur des unités est toujours comptée en mots SUD. CEFC-gold n’a pas de vue ContentUD.</w:t>
      </w:r>
    </w:p>
  </w:footnote>
  <w:footnote w:id="50">
    <w:p>
      <w:pPr>
        <w:pStyle w:val="FootnoteText"/>
      </w:pPr>
      <w:r>
        <w:rPr>
          <w:rStyle w:val="FootnoteReference"/>
          <w:rFonts w:ascii="Times New Roman" w:hAnsi="Times New Roman"/>
          <w:sz w:val="20"/>
        </w:rPr>
        <w:footnoteRef/>
      </w:r>
      <w:r>
        <w:rPr>
          <w:rFonts w:ascii="Times New Roman" w:hAnsi="Times New Roman"/>
          <w:sz w:val="20"/>
        </w:rPr>
        <w:t xml:space="preserve"> </w:t>
      </w:r>
      <w:r>
        <w:rPr>
          <w:rFonts w:ascii="Times New Roman" w:hAnsi="Times New Roman"/>
          <w:sz w:val="20"/>
        </w:rPr>
        <w:t xml:space="preserve">Si l’on retire les marqueurs de discours, les dislocations, les vocatifs et les parataxes mais qu’on garde les modifieurs antéposés, le surplus de l’oral ne diminue que des deux tiers (1,89 à 1,91 contre 1,79 et 1,80).</w:t>
      </w:r>
    </w:p>
  </w:footnote>
  <w:footnote w:id="58">
    <w:p>
      <w:pPr>
        <w:pStyle w:val="FootnoteText"/>
      </w:pPr>
      <w:r>
        <w:rPr>
          <w:rStyle w:val="FootnoteReference"/>
          <w:rFonts w:ascii="Times New Roman" w:hAnsi="Times New Roman"/>
          <w:sz w:val="20"/>
        </w:rPr>
        <w:footnoteRef/>
      </w:r>
      <w:r>
        <w:rPr>
          <w:rFonts w:ascii="Times New Roman" w:hAnsi="Times New Roman"/>
          <w:sz w:val="20"/>
        </w:rPr>
        <w:t xml:space="preserve"> </w:t>
      </w:r>
      <w:r>
        <w:rPr>
          <w:rFonts w:ascii="Times New Roman" w:hAnsi="Times New Roman"/>
          <w:sz w:val="20"/>
        </w:rPr>
        <w:t xml:space="preserve">Ces unités sont listées sur le site compagnon pour vérification.</w:t>
      </w:r>
    </w:p>
  </w:footnote>
  <w:footnote w:id="66">
    <w:p>
      <w:pPr>
        <w:pStyle w:val="FootnoteText"/>
      </w:pPr>
      <w:r>
        <w:rPr>
          <w:rStyle w:val="FootnoteReference"/>
          <w:rFonts w:ascii="Times New Roman" w:hAnsi="Times New Roman"/>
          <w:sz w:val="20"/>
        </w:rPr>
        <w:footnoteRef/>
      </w:r>
      <w:r>
        <w:rPr>
          <w:rFonts w:ascii="Times New Roman" w:hAnsi="Times New Roman"/>
          <w:sz w:val="20"/>
        </w:rPr>
        <w:t xml:space="preserve"> </w:t>
      </w:r>
      <w:r>
        <w:rPr>
          <w:rFonts w:ascii="Times New Roman" w:hAnsi="Times New Roman"/>
          <w:sz w:val="20"/>
        </w:rPr>
        <w:t xml:space="preserve">Si les catégories des deux gouverneurs étaient indépendantes, avec des parts</w:t>
      </w:r>
      <w:r>
        <w:rPr>
          <w:rFonts w:ascii="Times New Roman" w:hAnsi="Times New Roman"/>
          <w:sz w:val="20"/>
        </w:rPr>
        <w:t xml:space="preserve"> </w:t>
      </w:r>
      <w:r>
        <w:rPr>
          <w:iCs/>
          <w:i/>
          <w:rFonts w:ascii="Times New Roman" w:hAnsi="Times New Roman"/>
          <w:sz w:val="20"/>
        </w:rPr>
        <w:t xml:space="preserve">p</w:t>
      </w:r>
      <w:r>
        <w:rPr>
          <w:rFonts w:ascii="Times New Roman" w:hAnsi="Times New Roman"/>
          <w:sz w:val="20"/>
        </w:rPr>
        <w:t xml:space="preserve"> </w:t>
      </w:r>
      <w:r>
        <w:rPr>
          <w:rFonts w:ascii="Times New Roman" w:hAnsi="Times New Roman"/>
          <w:sz w:val="20"/>
        </w:rPr>
        <w:t xml:space="preserve">de noms et</w:t>
      </w:r>
      <w:r>
        <w:rPr>
          <w:rFonts w:ascii="Times New Roman" w:hAnsi="Times New Roman"/>
          <w:sz w:val="20"/>
        </w:rPr>
        <w:t xml:space="preserve"> </w:t>
      </w:r>
      <w:r>
        <w:rPr>
          <w:iCs/>
          <w:i/>
          <w:rFonts w:ascii="Times New Roman" w:hAnsi="Times New Roman"/>
          <w:sz w:val="20"/>
        </w:rPr>
        <w:t xml:space="preserve">q</w:t>
      </w:r>
      <w:r>
        <w:rPr>
          <w:rFonts w:ascii="Times New Roman" w:hAnsi="Times New Roman"/>
          <w:sz w:val="20"/>
        </w:rPr>
        <w:t xml:space="preserve"> </w:t>
      </w:r>
      <w:r>
        <w:rPr>
          <w:rFonts w:ascii="Times New Roman" w:hAnsi="Times New Roman"/>
          <w:sz w:val="20"/>
        </w:rPr>
        <w:t xml:space="preserve">de verbes, on attendrait</w:t>
      </w:r>
      <w:r>
        <w:rPr>
          <w:rFonts w:ascii="Times New Roman" w:hAnsi="Times New Roman"/>
          <w:sz w:val="20"/>
        </w:rPr>
        <w:t xml:space="preserve"> </w:t>
      </w:r>
      <w:r>
        <w:rPr>
          <w:iCs/>
          <w:i/>
          <w:rFonts w:ascii="Times New Roman" w:hAnsi="Times New Roman"/>
          <w:sz w:val="20"/>
        </w:rPr>
        <w:t xml:space="preserve">p</w:t>
      </w:r>
      <w:r>
        <w:rPr>
          <w:rFonts w:ascii="Times New Roman" w:hAnsi="Times New Roman"/>
          <w:sz w:val="20"/>
        </w:rPr>
        <w:t xml:space="preserve">² paires de noms,</w:t>
      </w:r>
      <w:r>
        <w:rPr>
          <w:rFonts w:ascii="Times New Roman" w:hAnsi="Times New Roman"/>
          <w:sz w:val="20"/>
        </w:rPr>
        <w:t xml:space="preserve"> </w:t>
      </w:r>
      <w:r>
        <w:rPr>
          <w:iCs/>
          <w:i/>
          <w:rFonts w:ascii="Times New Roman" w:hAnsi="Times New Roman"/>
          <w:sz w:val="20"/>
        </w:rPr>
        <w:t xml:space="preserve">q</w:t>
      </w:r>
      <w:r>
        <w:rPr>
          <w:rFonts w:ascii="Times New Roman" w:hAnsi="Times New Roman"/>
          <w:sz w:val="20"/>
        </w:rPr>
        <w:t xml:space="preserve">² paires de verbes et 2</w:t>
      </w:r>
      <w:r>
        <w:rPr>
          <w:iCs/>
          <w:i/>
          <w:rFonts w:ascii="Times New Roman" w:hAnsi="Times New Roman"/>
          <w:sz w:val="20"/>
        </w:rPr>
        <w:t xml:space="preserve">pq</w:t>
      </w:r>
      <w:r>
        <w:rPr>
          <w:rFonts w:ascii="Times New Roman" w:hAnsi="Times New Roman"/>
          <w:sz w:val="20"/>
        </w:rPr>
        <w:t xml:space="preserve"> </w:t>
      </w:r>
      <w:r>
        <w:rPr>
          <w:rFonts w:ascii="Times New Roman" w:hAnsi="Times New Roman"/>
          <w:sz w:val="20"/>
        </w:rPr>
        <w:t xml:space="preserve">paires mixtes, soit deux fois la moyenne géométrique des deux premières : les paires mixtes observées sont 1,6 (Rhapsodie) à 2,3 (GSD) fois plus nombreuses que cette attente.</w:t>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3C4C7ABD"/>
    <w:multiLevelType w:val="multilevel"/>
    <w:tmpl w:val="404E464A"/>
    <w:lvl w:ilvl="0">
      <w:start w:val="1"/>
      <w:numFmt w:val="decimal"/>
      <w:lvlText w:val="%1."/>
      <w:lvlJc w:val="left"/>
      <w:pPr>
        <w:ind w:hanging="227" w:left="868"/>
      </w:pPr>
      <w:rPr>
        <w:rFonts w:ascii="Times New Roman" w:cs="Times New Roman" w:eastAsia="Times New Roman" w:hAnsi="Times New Roman" w:hint="default"/>
        <w:b/>
        <w:bCs/>
        <w:spacing w:val="0"/>
        <w:w w:val="102"/>
        <w:sz w:val="22"/>
        <w:szCs w:val="22"/>
        <w:lang w:bidi="ar-SA" w:eastAsia="en-US" w:val="sk-SK"/>
      </w:rPr>
    </w:lvl>
    <w:lvl w:ilvl="1">
      <w:start w:val="1"/>
      <w:numFmt w:val="decimal"/>
      <w:lvlText w:val="%1.%2."/>
      <w:lvlJc w:val="left"/>
      <w:pPr>
        <w:ind w:hanging="396" w:left="1037"/>
      </w:pPr>
      <w:rPr>
        <w:rFonts w:ascii="Times New Roman" w:cs="Times New Roman" w:eastAsia="Times New Roman" w:hAnsi="Times New Roman" w:hint="default"/>
        <w:b/>
        <w:bCs/>
        <w:spacing w:val="-1"/>
        <w:w w:val="102"/>
        <w:sz w:val="22"/>
        <w:szCs w:val="22"/>
        <w:lang w:bidi="ar-SA" w:eastAsia="en-US" w:val="sk-SK"/>
      </w:rPr>
    </w:lvl>
    <w:lvl w:ilvl="2">
      <w:start w:val="1"/>
      <w:numFmt w:val="decimal"/>
      <w:lvlText w:val="(%3)"/>
      <w:lvlJc w:val="left"/>
      <w:pPr>
        <w:ind w:hanging="301" w:left="1150"/>
        <w:jc w:val="right"/>
      </w:pPr>
      <w:rPr>
        <w:rFonts w:ascii="Times New Roman" w:cs="Times New Roman" w:eastAsia="Times New Roman" w:hAnsi="Times New Roman" w:hint="default"/>
        <w:spacing w:val="-2"/>
        <w:w w:val="103"/>
        <w:sz w:val="20"/>
        <w:szCs w:val="20"/>
        <w:lang w:bidi="ar-SA" w:eastAsia="en-US" w:val="sk-SK"/>
      </w:rPr>
    </w:lvl>
    <w:lvl w:ilvl="3">
      <w:numFmt w:val="bullet"/>
      <w:lvlText w:val="•"/>
      <w:lvlJc w:val="left"/>
      <w:pPr>
        <w:ind w:hanging="301" w:left="2115"/>
      </w:pPr>
      <w:rPr>
        <w:rFonts w:hint="default"/>
        <w:lang w:bidi="ar-SA" w:eastAsia="en-US" w:val="sk-SK"/>
      </w:rPr>
    </w:lvl>
    <w:lvl w:ilvl="4">
      <w:numFmt w:val="bullet"/>
      <w:lvlText w:val="•"/>
      <w:lvlJc w:val="left"/>
      <w:pPr>
        <w:ind w:hanging="301" w:left="3070"/>
      </w:pPr>
      <w:rPr>
        <w:rFonts w:hint="default"/>
        <w:lang w:bidi="ar-SA" w:eastAsia="en-US" w:val="sk-SK"/>
      </w:rPr>
    </w:lvl>
    <w:lvl w:ilvl="5">
      <w:numFmt w:val="bullet"/>
      <w:lvlText w:val="•"/>
      <w:lvlJc w:val="left"/>
      <w:pPr>
        <w:ind w:hanging="301" w:left="4025"/>
      </w:pPr>
      <w:rPr>
        <w:rFonts w:hint="default"/>
        <w:lang w:bidi="ar-SA" w:eastAsia="en-US" w:val="sk-SK"/>
      </w:rPr>
    </w:lvl>
    <w:lvl w:ilvl="6">
      <w:numFmt w:val="bullet"/>
      <w:lvlText w:val="•"/>
      <w:lvlJc w:val="left"/>
      <w:pPr>
        <w:ind w:hanging="301" w:left="4980"/>
      </w:pPr>
      <w:rPr>
        <w:rFonts w:hint="default"/>
        <w:lang w:bidi="ar-SA" w:eastAsia="en-US" w:val="sk-SK"/>
      </w:rPr>
    </w:lvl>
    <w:lvl w:ilvl="7">
      <w:numFmt w:val="bullet"/>
      <w:lvlText w:val="•"/>
      <w:lvlJc w:val="left"/>
      <w:pPr>
        <w:ind w:hanging="301" w:left="5935"/>
      </w:pPr>
      <w:rPr>
        <w:rFonts w:hint="default"/>
        <w:lang w:bidi="ar-SA" w:eastAsia="en-US" w:val="sk-SK"/>
      </w:rPr>
    </w:lvl>
    <w:lvl w:ilvl="8">
      <w:numFmt w:val="bullet"/>
      <w:lvlText w:val="•"/>
      <w:lvlJc w:val="left"/>
      <w:pPr>
        <w:ind w:hanging="301" w:left="6890"/>
      </w:pPr>
      <w:rPr>
        <w:rFonts w:hint="default"/>
        <w:lang w:bidi="ar-SA" w:eastAsia="en-US" w:val="sk-SK"/>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VerticalSpacing w:val="36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20"/>
  <w:proofState w:grammar="clean"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m:mathPr>
    <m:mathFont m:val="Cambria Math"/>
    <m:brkBin m:val="before"/>
    <m:brkBinSub m:val="--"/>
    <m:smallFrac m:val="0"/>
    <m:dispDef/>
    <m:lMargin m:val="0"/>
    <m:rMargin m:val="0"/>
    <m:defJc m:val="centerGroup"/>
    <m:wrapIndent m:val="1440"/>
    <m:intLim m:val="subSup"/>
    <m:naryLim m:val="undOvr"/>
  </m:mathPr>
  <w:themeFontLang w:val="ro-RO"/>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
      </w:rPr>
    </w:rPrDefault>
    <w:pPrDefault>
      <w:pPr>
        <w:widowControl w:val="0"/>
        <w:autoSpaceDE w:val="0"/>
        <w:autoSpaceDN w:val="0"/>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uiPriority w:val="1"/>
    <w:qFormat/>
    <w:rPr>
      <w:rFonts w:ascii="Times New Roman" w:cs="Times New Roman" w:eastAsia="Times New Roman" w:hAnsi="Times New Roman"/>
      <w:lang w:val="fr"/>
    </w:rPr>
  </w:style>
  <w:style w:styleId="Heading1" w:type="paragraph">
    <w:name w:val="heading 1"/>
    <w:basedOn w:val="Normal"/>
    <w:uiPriority w:val="1"/>
    <w:qFormat/>
    <w:pPr>
      <w:ind w:hanging="397" w:left="868"/>
      <w:outlineLvl w:val="0"/>
    </w:pPr>
    <w:rPr>
      <w:rFonts w:ascii="Times New Roman" w:hAnsi="Times New Roman"/>
      <w:b/>
      <w:b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uiPriority w:val="1"/>
    <w:qFormat/>
    <w:rPr>
      <w:rFonts w:ascii="Times New Roman" w:hAnsi="Times New Roman"/>
    </w:rPr>
  </w:style>
  <w:style w:styleId="Title" w:type="paragraph">
    <w:name w:val="Title"/>
    <w:basedOn w:val="Normal"/>
    <w:uiPriority w:val="1"/>
    <w:qFormat/>
    <w:pPr>
      <w:spacing w:before="77"/>
      <w:ind w:left="1874" w:right="1873"/>
      <w:jc w:val="center"/>
    </w:pPr>
    <w:rPr>
      <w:rFonts w:ascii="Times New Roman" w:hAnsi="Times New Roman"/>
      <w:b/>
      <w:bCs/>
      <w:sz w:val="26"/>
      <w:szCs w:val="26"/>
    </w:rPr>
  </w:style>
  <w:style w:styleId="ListParagraph" w:type="paragraph">
    <w:name w:val="List Paragraph"/>
    <w:basedOn w:val="Normal"/>
    <w:uiPriority w:val="1"/>
    <w:qFormat/>
    <w:pPr>
      <w:ind w:hanging="397" w:left="868"/>
    </w:pPr>
  </w:style>
  <w:style w:customStyle="1" w:styleId="TableParagraph" w:type="paragraph">
    <w:name w:val="Table Paragraph"/>
    <w:basedOn w:val="Normal"/>
    <w:uiPriority w:val="1"/>
    <w:qFormat/>
  </w:style>
  <w:style w:styleId="FootnoteText" w:type="paragraph">
    <w:name w:val="footnote text"/>
    <w:basedOn w:val="Normal"/>
    <w:link w:val="FootnoteTextChar"/>
    <w:uiPriority w:val="99"/>
    <w:semiHidden/>
    <w:unhideWhenUsed/>
    <w:rsid w:val="005D0F3B"/>
    <w:rPr>
      <w:sz w:val="20"/>
      <w:szCs w:val="20"/>
    </w:rPr>
  </w:style>
  <w:style w:customStyle="1" w:styleId="FootnoteTextChar" w:type="character">
    <w:name w:val="Footnote Text Char"/>
    <w:basedOn w:val="DefaultParagraphFont"/>
    <w:link w:val="FootnoteText"/>
    <w:uiPriority w:val="99"/>
    <w:semiHidden/>
    <w:rsid w:val="005D0F3B"/>
    <w:rPr>
      <w:rFonts w:ascii="Times New Roman" w:cs="Times New Roman" w:eastAsia="Times New Roman" w:hAnsi="Times New Roman"/>
      <w:sz w:val="20"/>
      <w:szCs w:val="20"/>
      <w:lang w:val="fr"/>
    </w:rPr>
  </w:style>
  <w:style w:styleId="FootnoteReference" w:type="character">
    <w:name w:val="footnote reference"/>
    <w:basedOn w:val="DefaultParagraphFont"/>
    <w:uiPriority w:val="99"/>
    <w:semiHidden/>
    <w:unhideWhenUsed/>
    <w:rsid w:val="005D0F3B"/>
    <w:rPr>
      <w:vertAlign w:val="superscript"/>
    </w:rPr>
  </w:style>
  <w:style w:styleId="BalloonText" w:type="paragraph">
    <w:name w:val="Balloon Text"/>
    <w:basedOn w:val="Normal"/>
    <w:link w:val="BalloonTextChar"/>
    <w:uiPriority w:val="99"/>
    <w:semiHidden/>
    <w:unhideWhenUsed/>
    <w:rsid w:val="00D67F48"/>
    <w:rPr>
      <w:rFonts w:ascii="Tahoma" w:cs="Tahoma" w:hAnsi="Tahoma"/>
      <w:sz w:val="16"/>
      <w:szCs w:val="16"/>
    </w:rPr>
  </w:style>
  <w:style w:customStyle="1" w:styleId="BalloonTextChar" w:type="character">
    <w:name w:val="Balloon Text Char"/>
    <w:basedOn w:val="DefaultParagraphFont"/>
    <w:link w:val="BalloonText"/>
    <w:uiPriority w:val="99"/>
    <w:semiHidden/>
    <w:rsid w:val="00D67F48"/>
    <w:rPr>
      <w:rFonts w:ascii="Tahoma" w:cs="Tahoma" w:eastAsia="Times New Roman" w:hAnsi="Tahoma"/>
      <w:sz w:val="16"/>
      <w:szCs w:val="16"/>
      <w:lang w:val="fr"/>
    </w:rPr>
  </w:style>
  <w:style w:customStyle="1" w:styleId="Cabeceratabla" w:type="paragraph">
    <w:name w:val="Cabecera tabla"/>
    <w:basedOn w:val="Normal"/>
    <w:uiPriority w:val="99"/>
    <w:rsid w:val="00D67F48"/>
    <w:pPr>
      <w:adjustRightInd w:val="0"/>
      <w:spacing w:line="240" w:lineRule="atLeast"/>
      <w:jc w:val="center"/>
      <w:textAlignment w:val="center"/>
    </w:pPr>
    <w:rPr>
      <w:rFonts w:cs="TimesNewRomanPS-BoldMT"/>
      <w:b/>
      <w:bCs/>
      <w:color w:val="000000"/>
      <w:sz w:val="20"/>
      <w:szCs w:val="20"/>
      <w:lang w:eastAsia="es-ES" w:val="fr"/>
    </w:rPr>
  </w:style>
  <w:style w:customStyle="1" w:styleId="Contenidotabla" w:type="paragraph">
    <w:name w:val="Contenido tabla"/>
    <w:basedOn w:val="Normal"/>
    <w:uiPriority w:val="99"/>
    <w:rsid w:val="00D67F48"/>
    <w:pPr>
      <w:suppressAutoHyphens/>
      <w:adjustRightInd w:val="0"/>
      <w:jc w:val="center"/>
      <w:textAlignment w:val="center"/>
    </w:pPr>
    <w:rPr>
      <w:rFonts w:cs="TimesNewRomanPSMT"/>
      <w:color w:val="000000"/>
      <w:sz w:val="20"/>
      <w:szCs w:val="20"/>
      <w:lang w:eastAsia="es-ES" w:val="f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55" Type="http://schemas.openxmlformats.org/officeDocument/2006/relationships/image" Target="media/rId55.png"/><Relationship Id="rId60" Type="http://schemas.openxmlformats.org/officeDocument/2006/relationships/image" Target="media/rId60.png"/><Relationship Id="rId22" Type="http://schemas.openxmlformats.org/officeDocument/2006/relationships/image" Target="media/rId22.png"/><Relationship Id="rId51" Type="http://schemas.openxmlformats.org/officeDocument/2006/relationships/image" Target="media/rId51.png"/><Relationship Id="rId63" Type="http://schemas.openxmlformats.org/officeDocument/2006/relationships/image" Target="media/rId63.png"/><Relationship Id="rId31" Type="http://schemas.openxmlformats.org/officeDocument/2006/relationships/image" Target="media/rId31.png"/><Relationship Id="rId43" Type="http://schemas.openxmlformats.org/officeDocument/2006/relationships/image" Target="media/rId43.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731</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Microsoft Word - feuille de style.doc</vt:lpstr>
    </vt:vector>
  </TitlesOfParts>
  <Company/>
  <LinksUpToDate>false</LinksUpToDate>
  <CharactersWithSpaces>4964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flux de dépendance, une mesure de la complexité syntaxique : l’oral et l’écrit en français</dc:title>
  <dc:creator/>
  <dc:language>fr</dc:language>
  <cp:keywords/>
  <dcterms:created xsi:type="dcterms:W3CDTF">2026-10-19T10:09:16Z</dcterms:created>
  <dcterms:modified xsi:type="dcterms:W3CDTF">2026-10-19T10:09:16Z</dcterms:modified>
</cp:coreProperties>
</file>

<file path=docProps/custom.xml><?xml version="1.0" encoding="utf-8"?>
<Properties xmlns="http://schemas.openxmlformats.org/officeDocument/2006/custom-properties" xmlns:vt="http://schemas.openxmlformats.org/officeDocument/2006/docPropsVTypes"/>
</file>