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在线购物系统（单卖家版）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6"/>
        </w:rPr>
        <w:t>测 试 计 划</w:t>
      </w:r>
    </w:p>
    <w:p>
      <w:pPr>
        <w:spacing w:before="1200"/>
        <w:jc w:val="center"/>
      </w:pPr>
      <w:r>
        <w:rPr>
          <w:rFonts w:ascii="宋体" w:hAnsi="宋体" w:eastAsia="宋体"/>
          <w:sz w:val="22"/>
        </w:rPr>
        <w:t>课程名称：软件工程实践</w:t>
        <w:br/>
      </w:r>
      <w:r>
        <w:br/>
      </w:r>
      <w:r>
        <w:rPr>
          <w:rFonts w:ascii="宋体" w:hAnsi="宋体" w:eastAsia="宋体"/>
          <w:sz w:val="22"/>
        </w:rPr>
        <w:t>项目名称：在线购物系统（单卖家版）</w:t>
        <w:br/>
      </w:r>
      <w:r>
        <w:br/>
      </w:r>
      <w:r>
        <w:rPr>
          <w:rFonts w:ascii="宋体" w:hAnsi="宋体" w:eastAsia="宋体"/>
          <w:sz w:val="22"/>
        </w:rPr>
        <w:t>代码仓库：https://github.com/tyq-arch/single-merchant-shop-9</w:t>
        <w:br/>
      </w:r>
      <w:r>
        <w:br/>
      </w:r>
      <w:r>
        <w:rPr>
          <w:rFonts w:ascii="宋体" w:hAnsi="宋体" w:eastAsia="宋体"/>
          <w:sz w:val="22"/>
        </w:rPr>
        <w:t>项目组：single-merchant-shop-9 项目组</w:t>
        <w:br/>
      </w:r>
      <w:r>
        <w:br/>
      </w:r>
      <w:r>
        <w:rPr>
          <w:rFonts w:ascii="宋体" w:hAnsi="宋体" w:eastAsia="宋体"/>
          <w:sz w:val="22"/>
        </w:rPr>
        <w:t>编写人：缪茂锦（测试岗）</w:t>
        <w:br/>
      </w:r>
      <w:r>
        <w:br/>
      </w:r>
      <w:r>
        <w:rPr>
          <w:rFonts w:ascii="宋体" w:hAnsi="宋体" w:eastAsia="宋体"/>
          <w:sz w:val="22"/>
        </w:rPr>
        <w:t>文档版本：V1.0</w:t>
        <w:br/>
      </w:r>
      <w:r>
        <w:br/>
      </w:r>
      <w:r>
        <w:rPr>
          <w:rFonts w:ascii="宋体" w:hAnsi="宋体" w:eastAsia="宋体"/>
          <w:sz w:val="22"/>
        </w:rPr>
        <w:t>编写日期：2026-10-15（功能测试执行日期）</w:t>
        <w:br/>
      </w:r>
      <w:r>
        <w:br/>
      </w:r>
      <w:r>
        <w:rPr>
          <w:rFonts w:ascii="宋体" w:hAnsi="宋体" w:eastAsia="宋体"/>
          <w:sz w:val="22"/>
        </w:rPr>
        <w:t>适用迭代：第 1 次迭代（2026-09-24 ~ 2026-10-08）</w:t>
        <w:br/>
      </w:r>
      <w:r>
        <w:br/>
      </w:r>
      <w:r>
        <w:rPr>
          <w:rFonts w:ascii="宋体" w:hAnsi="宋体" w:eastAsia="宋体"/>
          <w:sz w:val="22"/>
        </w:rPr>
        <w:t>对应评审：第 1 次阶段性评审（评审日期 2026-10-08）</w:t>
        <w:br/>
      </w:r>
      <w:r>
        <w:br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/>
          <w:b w:val="0"/>
          <w:sz w:val="21"/>
        </w:rPr>
        <w:t>本文档用于明确《在线购物系统（单卖家版）》的测试范围、测试策略、测试环境、组织分工、进度安排与准入准出标准，作为测试岗开展各阶段功能测试、缺陷记录与验收校验的统一依据，同时也作为阶段性评审与项目验收时测试工作的说明材料。</w:t>
      </w:r>
    </w:p>
    <w:p>
      <w:r>
        <w:rPr>
          <w:rFonts w:ascii="宋体" w:hAnsi="宋体" w:eastAsia="宋体"/>
          <w:b w:val="0"/>
          <w:sz w:val="21"/>
        </w:rPr>
        <w:t>预期读者：项目组全体成员（用于明确各自配合事项）、课程指导教师（用于评审测试工作）。</w:t>
      </w:r>
    </w:p>
    <w:p>
      <w:pPr>
        <w:pStyle w:val="Heading2"/>
      </w:pPr>
      <w:r>
        <w:t>1.2 项目背景</w:t>
      </w:r>
    </w:p>
    <w:p>
      <w:r>
        <w:rPr>
          <w:rFonts w:ascii="宋体" w:hAnsi="宋体" w:eastAsia="宋体"/>
          <w:b w:val="0"/>
          <w:sz w:val="21"/>
        </w:rPr>
        <w:t>本系统为单卖家在线购物系统：全站仅有一个固定卖家账号，买家匿名使用；卖家发布商品后，买家提交购买意向并取得唯一口令码；系统按提交时间先到先得排队；卖家与队首买家进入交易并线下成交，交易结果由卖家标记。</w:t>
      </w:r>
    </w:p>
    <w:p>
      <w:r>
        <w:rPr>
          <w:rFonts w:ascii="宋体" w:hAnsi="宋体" w:eastAsia="宋体"/>
          <w:b w:val="0"/>
          <w:sz w:val="21"/>
        </w:rPr>
        <w:t>系统的核心复杂性集中在三处状态机与并发一致性上：商品状态（在售/已冻结/已下架）、购买意向状态（排队中/已撤销/已进入交易/交易成功/交易失败/已作废/重新排队中）、口令码状态（生效/失效）。因此测试重点放在状态迁移的完整覆盖、先到先得排队规则的不可破坏性，以及口令码生命周期的正确失效上。</w:t>
      </w:r>
    </w:p>
    <w:p>
      <w:pPr>
        <w:pStyle w:val="Heading2"/>
      </w:pPr>
      <w:r>
        <w:t>1.3 术语与缩略语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术语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FR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功能需求（Functional Requirement），编号 FR-001 ~ FR-057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NFR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非功能需求（Non-Functional Requirement），编号 NFR-001 ~ NFR-015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AC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验收准则（Acceptance Criteria），编号 AC-001 ~ AC-032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口令码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买家认领意向的唯一凭证，10 位随机码，用于查询、修改、撤销意向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意向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买家提交的购买意向，系统中以 order_intent 表记录，含商品快照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排队序号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意向在商品队列中的先到先得位次，从 1 开始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递补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队首交易失败后，下一位自动进入交易的过程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冻结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商品停止接收新意向的状态，分手动冻结与进入交易自动冻结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TBD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需求文档中待定项（To Be Determined）</w:t>
            </w:r>
          </w:p>
        </w:tc>
      </w:tr>
    </w:tbl>
    <w:p/>
    <w:p>
      <w:pPr>
        <w:pStyle w:val="Heading2"/>
      </w:pPr>
      <w:r>
        <w:t>1.4 参考文档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文档名称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需求规格说明书（V2.0）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 Requirement Analysis/ 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docs/01-技术栈调研报告.md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 docs 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docs/02-数据库设计文档.md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 docs 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docs/03-接口设计文档.md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 docs 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docs/04-前端技术栈调研报告.md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 docs 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docs/05-页面原型设计.md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 docs 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商品状态图.png / 订单状态机图.png / 口令码周期图.png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项目仓库根目录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阶段性评审 (I) 指南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sz w:val="19"/>
              </w:rPr>
              <w:t>课程通用资料 Wiki</w:t>
            </w:r>
          </w:p>
        </w:tc>
      </w:tr>
    </w:tbl>
    <w:p/>
    <w:p>
      <w:r>
        <w:br w:type="page"/>
      </w:r>
    </w:p>
    <w:p>
      <w:pPr>
        <w:pStyle w:val="Heading1"/>
      </w:pPr>
      <w:r>
        <w:t>2 测试对象与范围</w:t>
      </w:r>
    </w:p>
    <w:p>
      <w:pPr>
        <w:pStyle w:val="Heading2"/>
      </w:pPr>
      <w:r>
        <w:t>2.1 被测系统概述</w:t>
      </w:r>
    </w:p>
    <w:p>
      <w:r>
        <w:rPr>
          <w:rFonts w:ascii="宋体" w:hAnsi="宋体" w:eastAsia="宋体"/>
          <w:b w:val="0"/>
          <w:sz w:val="21"/>
        </w:rPr>
        <w:t>被测对象为 single-merchant-shop-9 仓库中的完整前后端实现：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后端服务：</w:t>
      </w:r>
      <w:r>
        <w:rPr>
          <w:rFonts w:ascii="宋体" w:hAnsi="宋体" w:eastAsia="宋体"/>
          <w:sz w:val="21"/>
        </w:rPr>
        <w:t>Python 3.12 + FastAPI + Uvicorn + SQLite（WAL 模式），共 24 个接口，覆盖公开商品浏览、买家意向、卖家后台与文件上传四类。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前端应用：</w:t>
      </w:r>
      <w:r>
        <w:rPr>
          <w:rFonts w:ascii="宋体" w:hAnsi="宋体" w:eastAsia="宋体"/>
          <w:sz w:val="21"/>
        </w:rPr>
        <w:t>Vue 3 + Vite + Vue Router + Pinia + Element Plus，含买家端 5 个页面与卖家后台 7 个页面，共 12 条路由。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数据层：</w:t>
      </w:r>
      <w:r>
        <w:rPr>
          <w:rFonts w:ascii="宋体" w:hAnsi="宋体" w:eastAsia="宋体"/>
          <w:sz w:val="21"/>
        </w:rPr>
        <w:t>6 张表（seller、product、order_intent、command_code、queue_item、transaction_record、operation_log），含唯一在售约束与金额 CHECK 约束。</w:t>
      </w:r>
    </w:p>
    <w:p>
      <w:pPr>
        <w:pStyle w:val="Heading2"/>
      </w:pPr>
      <w:r>
        <w:t>2.2 测试范围</w:t>
      </w:r>
    </w:p>
    <w:p>
      <w:r>
        <w:rPr>
          <w:rFonts w:ascii="宋体" w:hAnsi="宋体" w:eastAsia="宋体"/>
          <w:b/>
          <w:sz w:val="21"/>
        </w:rPr>
        <w:t>本轮测试覆盖以下内容：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测试类型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覆盖内容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接口功能测试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24 个 HTTP 接口的正常流与异常流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黑盒方式，直接对运行中的后端发起真实请求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业务流程测试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买家浏览→提交意向→排队→进入交易→标记结果的端到端流程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覆盖正常成交、失败递补、失败重排三类主流程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状态机测试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商品 3 态、意向 7 态、口令码 2 态的全部合法与非法迁移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重点验证非法迁移被正确拒绝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边界与异常测试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字段长度、金额边界、分页边界、非法枚举、非法 JSON、超长参数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验证返回统一 4xx 而非 5xx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并发一致性测试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多线程并发提交意向、并发进入交易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验证 NFR-013 防超卖与 NFR-014 先到先得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安全性测试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鉴权覆盖、越权访问、SQL 注入、路径穿越、XSS 存储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验证 NFR-004/005/006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隐私保护测试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买家电话脱敏规则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验证 FR-019/NFR-003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前端可用性测试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12 条路由可访问性、模块编译、前后端代理联调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验证 FR-051/FR-052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文档一致性核对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需求、接口、页面文档之间的一致性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结果以观察项形式记录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本轮测试不覆盖以下内容：</w:t>
      </w:r>
    </w:p>
    <w:p>
      <w:pPr>
        <w:pStyle w:val="ListBullet"/>
      </w:pPr>
      <w:r>
        <w:rPr>
          <w:rFonts w:ascii="宋体" w:hAnsi="宋体" w:eastAsia="宋体"/>
          <w:sz w:val="21"/>
        </w:rPr>
        <w:t>专业性能压测与长时间稳定性测试（NFR-007 可用性 ≥99% 无法在课程单机环境验证）；</w:t>
      </w:r>
    </w:p>
    <w:p>
      <w:pPr>
        <w:pStyle w:val="ListBullet"/>
      </w:pPr>
      <w:r>
        <w:rPr>
          <w:rFonts w:ascii="宋体" w:hAnsi="宋体" w:eastAsia="宋体"/>
          <w:sz w:val="21"/>
        </w:rPr>
        <w:t>多浏览器、多终端的兼容性矩阵测试（仅在 Chrome 内核浏览器下做功能验证）；</w:t>
      </w:r>
    </w:p>
    <w:p>
      <w:pPr>
        <w:pStyle w:val="ListBullet"/>
      </w:pPr>
      <w:r>
        <w:rPr>
          <w:rFonts w:ascii="宋体" w:hAnsi="宋体" w:eastAsia="宋体"/>
          <w:sz w:val="21"/>
        </w:rPr>
        <w:t>HTTPS、CSRF 等部署层安全项（课程环境为本地 HTTP 明文部署）；</w:t>
      </w:r>
    </w:p>
    <w:p>
      <w:pPr>
        <w:pStyle w:val="ListBullet"/>
      </w:pPr>
      <w:r>
        <w:rPr>
          <w:rFonts w:ascii="宋体" w:hAnsi="宋体" w:eastAsia="宋体"/>
          <w:sz w:val="21"/>
        </w:rPr>
        <w:t>需求文档中列为 TBD 且尚未实现的功能（评价、支付、配送、营销、库存、统计报表、消息通知等，见 TBD-01 ~ TBD-14）。</w:t>
      </w:r>
    </w:p>
    <w:p>
      <w:r>
        <w:br w:type="page"/>
      </w:r>
    </w:p>
    <w:p>
      <w:pPr>
        <w:pStyle w:val="Heading1"/>
      </w:pPr>
      <w:r>
        <w:t>3 测试策略</w:t>
      </w:r>
    </w:p>
    <w:p>
      <w:pPr>
        <w:pStyle w:val="Heading2"/>
      </w:pPr>
      <w:r>
        <w:t>3.1 测试类型与层次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测试类型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执行方式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责任人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第 1 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开发自测（单元/接口）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仓库自带 pytest 用例，开发人员在提交前执行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郭子涵（后端）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第 2 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黑盒功能测试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测试岗编写自动化套件，对运行中的服务发起真实请求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缪茂锦（测试）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第 3 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前端功能与联调测试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浏览器人工走查 + HTTP 层可用性校验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吴顺宝（前端）/ 缪茂锦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第 4 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验收测试与合规检查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依据功能验收校验清单与上线合规检查表逐项核对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缪茂锦（测试）</w:t>
            </w:r>
          </w:p>
        </w:tc>
      </w:tr>
    </w:tbl>
    <w:p/>
    <w:p>
      <w:pPr>
        <w:pStyle w:val="Heading2"/>
      </w:pPr>
      <w:r>
        <w:t>3.2 测试方法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黑盒测试为主：</w:t>
      </w:r>
      <w:r>
        <w:rPr>
          <w:rFonts w:ascii="宋体" w:hAnsi="宋体" w:eastAsia="宋体"/>
          <w:sz w:val="21"/>
        </w:rPr>
        <w:t>测试岗不依赖内部实现细节，仅通过公开 HTTP 接口与页面验证行为，保证测试视角与真实使用者一致。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等价类划分与边界值分析：</w:t>
      </w:r>
      <w:r>
        <w:rPr>
          <w:rFonts w:ascii="宋体" w:hAnsi="宋体" w:eastAsia="宋体"/>
          <w:sz w:val="21"/>
        </w:rPr>
        <w:t>对金额、名称长度、电话长度、分页参数等划分等价类并取边界值。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状态迁移测试：</w:t>
      </w:r>
      <w:r>
        <w:rPr>
          <w:rFonts w:ascii="宋体" w:hAnsi="宋体" w:eastAsia="宋体"/>
          <w:sz w:val="21"/>
        </w:rPr>
        <w:t>以需求文档的状态机为准，逐一验证合法迁移可达、非法迁移被拒。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场景法：</w:t>
      </w:r>
      <w:r>
        <w:rPr>
          <w:rFonts w:ascii="宋体" w:hAnsi="宋体" w:eastAsia="宋体"/>
          <w:sz w:val="21"/>
        </w:rPr>
        <w:t>按接口文档 §7 给出的三条端到端时序设计场景用例，覆盖成交、递补、重排。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并发测试：</w:t>
      </w:r>
      <w:r>
        <w:rPr>
          <w:rFonts w:ascii="宋体" w:hAnsi="宋体" w:eastAsia="宋体"/>
          <w:sz w:val="21"/>
        </w:rPr>
        <w:t>使用多线程同时发起请求，统计排队序号的唯一性与连续性，检验防超卖。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错误推测法：</w:t>
      </w:r>
      <w:r>
        <w:rPr>
          <w:rFonts w:ascii="宋体" w:hAnsi="宋体" w:eastAsia="宋体"/>
          <w:sz w:val="21"/>
        </w:rPr>
        <w:t>结合代码走查结果，针对金额换算、LIKE 通配符、鉴权缺失等高危点设计针对性用例。</w:t>
      </w:r>
    </w:p>
    <w:p>
      <w:pPr>
        <w:pStyle w:val="Heading2"/>
      </w:pPr>
      <w:r>
        <w:t>3.3 需求追溯</w:t>
      </w:r>
    </w:p>
    <w:p>
      <w:r>
        <w:rPr>
          <w:rFonts w:ascii="宋体" w:hAnsi="宋体" w:eastAsia="宋体"/>
          <w:b w:val="0"/>
          <w:sz w:val="21"/>
        </w:rPr>
        <w:t>全部用例均标注对应的 FR/NFR 编号，形成「需求 → 用例 → 执行结果 → 缺陷」的追溯链。测试用例工作簿中「需求覆盖矩阵」工作表给出逐条需求的覆盖情况。</w:t>
      </w:r>
    </w:p>
    <w:p>
      <w:r>
        <w:rPr>
          <w:rFonts w:ascii="宋体" w:hAnsi="宋体" w:eastAsia="宋体"/>
          <w:b w:val="0"/>
          <w:sz w:val="21"/>
        </w:rPr>
        <w:t>说明：需求文档中 FR-001 与 FR-036、FR-035 与 FR-041 内容重复，为避免重复计数，追溯时按同一需求合并处理，该问题已记入观察项 OBS-007。</w:t>
      </w:r>
    </w:p>
    <w:p>
      <w:pPr>
        <w:pStyle w:val="Heading2"/>
      </w:pPr>
      <w:r>
        <w:t>3.4 缺陷管理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严重级别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处理要求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高（Critical/Blocker）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核心流程不可用、数据错误或丢失、安全漏洞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立即修复，阻塞上线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中（Major）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主要功能异常或接口契约被破坏，但有规避方式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当前迭代内修复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低（Minor）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次要功能瑕疵、提示不准确、边界处理不完善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计划内修复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提示（Info）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不影响功能的设计与文档问题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视情况优化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缺陷状态流转：待修复 → 修复中 → 待回归 → 已关闭 / 重新打开。每个缺陷须记录复现步骤、预期与实际结果、根因分析与回归验证方法。</w:t>
      </w:r>
    </w:p>
    <w:p>
      <w:r>
        <w:br w:type="page"/>
      </w:r>
    </w:p>
    <w:p>
      <w:pPr>
        <w:pStyle w:val="Heading1"/>
      </w:pPr>
      <w:r>
        <w:t>4 测试环境</w:t>
      </w:r>
    </w:p>
    <w:p>
      <w:pPr>
        <w:pStyle w:val="Heading2"/>
      </w:pPr>
      <w:r>
        <w:t>4.1 硬件与操作系统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sz w:val="19"/>
              </w:rPr>
              <w:t>Windows（本机开发环境）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处理器 / 内存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sz w:val="19"/>
              </w:rPr>
              <w:t>满足开发与本地服务运行要求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部署形态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sz w:val="19"/>
              </w:rPr>
              <w:t>单机部署：后端与前端开发服务器均运行于 127.0.0.1</w:t>
            </w:r>
          </w:p>
        </w:tc>
      </w:tr>
    </w:tbl>
    <w:p/>
    <w:p>
      <w:pPr>
        <w:pStyle w:val="Heading2"/>
      </w:pPr>
      <w:r>
        <w:t>4.2 软件与依赖版本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软件 / 依赖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运行时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Python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3.12.10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运行时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Node.js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v24.21.0（可运行前端；系统另装 v20.19.0）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后端框架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FastAPI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0.142.2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后端服务器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Uvicorn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0.54.0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SQLite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Python 内置 sqlite3（WAL 模式）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后端测试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pytest / httpx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9.1.1 / 0.28.1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前端框架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Vue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3.5.43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构建工具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Vite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8.3.3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前端路由/状态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Vue Router / Pinia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5.3.1 / 4.0.3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UI 组件库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Element Plus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2.14.7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HTTP 客户端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Axios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^1.20.0</w:t>
            </w:r>
          </w:p>
        </w:tc>
      </w:tr>
    </w:tbl>
    <w:p/>
    <w:p>
      <w:pPr>
        <w:pStyle w:val="Heading2"/>
      </w:pPr>
      <w:r>
        <w:t>4.3 环境搭建与启动</w:t>
      </w:r>
    </w:p>
    <w:p>
      <w:r>
        <w:rPr>
          <w:rFonts w:ascii="宋体" w:hAnsi="宋体" w:eastAsia="宋体"/>
          <w:b/>
          <w:sz w:val="21"/>
        </w:rPr>
        <w:t>后端：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1) 进入 backend 目录；2) 执行 pip install -r requirements.txt 安装依赖；3) 执行 python -m uvicorn app.main:app --host 127.0.0.1 --port 8000 启动服务；4) 首次启动自动执行 init_db() 建表并写入固定卖家账号（seller / seller123）；5) 访问 http://127.0.0.1:8000/docs 查看 Swagger 接口文档。</w:t>
      </w:r>
    </w:p>
    <w:p>
      <w:r>
        <w:rPr>
          <w:rFonts w:ascii="宋体" w:hAnsi="宋体" w:eastAsia="宋体"/>
          <w:b/>
          <w:sz w:val="21"/>
        </w:rPr>
        <w:t>前端：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1) 进入 frontend 目录；2) 执行 npm install 安装依赖；3) 执行 npm run dev 启动 Vite 开发服务器（默认 5173 端口）；4) vite.config.js 已将 /api 与 /uploads 代理至后端 8000 端口，保证开发环境与生产环境前端代码零差异。</w:t>
      </w:r>
    </w:p>
    <w:p>
      <w:pPr>
        <w:pStyle w:val="Heading2"/>
      </w:pPr>
      <w:r>
        <w:t>4.4 测试数据准备</w:t>
      </w:r>
    </w:p>
    <w:p>
      <w:pPr>
        <w:pStyle w:val="ListBullet"/>
      </w:pPr>
      <w:r>
        <w:rPr>
          <w:rFonts w:ascii="宋体" w:hAnsi="宋体" w:eastAsia="宋体"/>
          <w:sz w:val="21"/>
        </w:rPr>
        <w:t>每轮测试前重建独立临时 SQLite 数据库，保证用例之间互不干扰、结果可重复；</w:t>
      </w:r>
    </w:p>
    <w:p>
      <w:pPr>
        <w:pStyle w:val="ListBullet"/>
      </w:pPr>
      <w:r>
        <w:rPr>
          <w:rFonts w:ascii="宋体" w:hAnsi="宋体" w:eastAsia="宋体"/>
          <w:sz w:val="21"/>
        </w:rPr>
        <w:t>卖家账号由系统初始化写入，无需注册；测试中使用系统默认账号；</w:t>
      </w:r>
    </w:p>
    <w:p>
      <w:pPr>
        <w:pStyle w:val="ListBullet"/>
      </w:pPr>
      <w:r>
        <w:rPr>
          <w:rFonts w:ascii="宋体" w:hAnsi="宋体" w:eastAsia="宋体"/>
          <w:sz w:val="21"/>
        </w:rPr>
        <w:t>商品、买家意向、交易记录均由测试用例按需现场构造，不依赖预置业务数据；</w:t>
      </w:r>
    </w:p>
    <w:p>
      <w:pPr>
        <w:pStyle w:val="ListBullet"/>
      </w:pPr>
      <w:r>
        <w:rPr>
          <w:rFonts w:ascii="宋体" w:hAnsi="宋体" w:eastAsia="宋体"/>
          <w:sz w:val="21"/>
        </w:rPr>
        <w:t>图片上传用例使用程序生成的最小合法 PNG 与各类非法样本。</w:t>
      </w:r>
    </w:p>
    <w:p>
      <w:r>
        <w:br w:type="page"/>
      </w:r>
    </w:p>
    <w:p>
      <w:pPr>
        <w:pStyle w:val="Heading1"/>
      </w:pPr>
      <w:r>
        <w:t>5 测试组织与分工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姓名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测试相关职责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测试岗（主责）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缪茂锦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编写测试计划与测试用例；执行各阶段功能测试；记录与汇总缺陷；编写测试报告；功能验收校验；上线合规检查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后端开发岗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郭子涵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提供后端服务与接口文档；修复测试发现的缺陷；维护开发自测用例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前端开发岗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吴顺宝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提供前端页面；配合前端功能与联调测试；修复前端缺陷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设计岗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周育民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提供需求与设计文档作为测试依据；澄清需求歧义；修订文档不一致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组长（统筹）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卢思晨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协调测试资源与进度；汇总测试成果物；对接评审与提交</w:t>
            </w:r>
          </w:p>
        </w:tc>
      </w:tr>
    </w:tbl>
    <w:p/>
    <w:p>
      <w:pPr>
        <w:pStyle w:val="Heading1"/>
      </w:pPr>
      <w:r>
        <w:t>6 测试进度安排</w:t>
      </w:r>
    </w:p>
    <w:p>
      <w:r>
        <w:rPr>
          <w:rFonts w:ascii="宋体" w:hAnsi="宋体" w:eastAsia="宋体"/>
          <w:b w:val="0"/>
          <w:sz w:val="21"/>
        </w:rPr>
        <w:t>测试工作按迭代节奏推进，每轮迭代内保持「开发完成 → 测试执行 → 缺陷修复 → 回归验证」闭环。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测试工作内容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成果物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迭代前期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参与需求与设计文档评审，识别可测性与需求歧义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测试计划、需求疑问清单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迭代中期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依据接口文档与页面原型设计测试用例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测试用例文档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迭代后期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执行功能测试，记录缺陷并跟踪修复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BUG 记录与汇总表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迭代收尾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回归验证已修复缺陷，输出阶段性测试结论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测试报告（阶段版）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验收阶段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逐项执行功能验收校验与上线合规检查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功能验收校验清单、上线合规检查表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验收后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汇总测试成果物，配合组长整理评审材料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最终测试报告、成果物清单</w:t>
            </w:r>
          </w:p>
        </w:tc>
      </w:tr>
    </w:tbl>
    <w:p/>
    <w:p>
      <w:pPr>
        <w:pStyle w:val="Heading1"/>
      </w:pPr>
      <w:r>
        <w:t>7 准入与准出标准</w:t>
      </w:r>
    </w:p>
    <w:p>
      <w:pPr>
        <w:pStyle w:val="Heading2"/>
      </w:pPr>
      <w:r>
        <w:t>7.1 测试准入标准</w:t>
      </w:r>
    </w:p>
    <w:p>
      <w:pPr>
        <w:pStyle w:val="ListBullet"/>
      </w:pPr>
      <w:r>
        <w:rPr>
          <w:rFonts w:ascii="宋体" w:hAnsi="宋体" w:eastAsia="宋体"/>
          <w:sz w:val="21"/>
        </w:rPr>
        <w:t>被测版本已完成开发自测，仓库自带 pytest 用例全部通过；</w:t>
      </w:r>
    </w:p>
    <w:p>
      <w:pPr>
        <w:pStyle w:val="ListBullet"/>
      </w:pPr>
      <w:r>
        <w:rPr>
          <w:rFonts w:ascii="宋体" w:hAnsi="宋体" w:eastAsia="宋体"/>
          <w:sz w:val="21"/>
        </w:rPr>
        <w:t>后端服务与前端服务均可正常启动，接口文档可访问；</w:t>
      </w:r>
    </w:p>
    <w:p>
      <w:pPr>
        <w:pStyle w:val="ListBullet"/>
      </w:pPr>
      <w:r>
        <w:rPr>
          <w:rFonts w:ascii="宋体" w:hAnsi="宋体" w:eastAsia="宋体"/>
          <w:sz w:val="21"/>
        </w:rPr>
        <w:t>需求、数据库、接口、页面设计文档已提交，测试依据齐备；</w:t>
      </w:r>
    </w:p>
    <w:p>
      <w:pPr>
        <w:pStyle w:val="ListBullet"/>
      </w:pPr>
      <w:r>
        <w:rPr>
          <w:rFonts w:ascii="宋体" w:hAnsi="宋体" w:eastAsia="宋体"/>
          <w:sz w:val="21"/>
        </w:rPr>
        <w:t>测试环境已就绪，数据库可重建。</w:t>
      </w:r>
    </w:p>
    <w:p>
      <w:pPr>
        <w:pStyle w:val="Heading2"/>
      </w:pPr>
      <w:r>
        <w:t>7.2 测试准出标准</w:t>
      </w:r>
    </w:p>
    <w:p>
      <w:pPr>
        <w:pStyle w:val="ListBullet"/>
      </w:pPr>
      <w:r>
        <w:rPr>
          <w:rFonts w:ascii="宋体" w:hAnsi="宋体" w:eastAsia="宋体"/>
          <w:sz w:val="21"/>
        </w:rPr>
        <w:t>测试用例执行率 100%，无用例因环境问题被阻塞；</w:t>
      </w:r>
    </w:p>
    <w:p>
      <w:pPr>
        <w:pStyle w:val="ListBullet"/>
      </w:pPr>
      <w:r>
        <w:rPr>
          <w:rFonts w:ascii="宋体" w:hAnsi="宋体" w:eastAsia="宋体"/>
          <w:sz w:val="21"/>
        </w:rPr>
        <w:t>无「高（Critical/Blocker）」级别未修复缺陷；</w:t>
      </w:r>
    </w:p>
    <w:p>
      <w:pPr>
        <w:pStyle w:val="ListBullet"/>
      </w:pPr>
      <w:r>
        <w:rPr>
          <w:rFonts w:ascii="宋体" w:hAnsi="宋体" w:eastAsia="宋体"/>
          <w:sz w:val="21"/>
        </w:rPr>
        <w:t>「中」级别缺陷已修复并回归通过，或在测试报告中说明影响与规避方式；</w:t>
      </w:r>
    </w:p>
    <w:p>
      <w:pPr>
        <w:pStyle w:val="ListBullet"/>
      </w:pPr>
      <w:r>
        <w:rPr>
          <w:rFonts w:ascii="宋体" w:hAnsi="宋体" w:eastAsia="宋体"/>
          <w:sz w:val="21"/>
        </w:rPr>
        <w:t>功能验收校验清单通过率不低于 95%，未通过项均有明确的缺陷关联；</w:t>
      </w:r>
    </w:p>
    <w:p>
      <w:pPr>
        <w:pStyle w:val="ListBullet"/>
      </w:pPr>
      <w:r>
        <w:rPr>
          <w:rFonts w:ascii="宋体" w:hAnsi="宋体" w:eastAsia="宋体"/>
          <w:sz w:val="21"/>
        </w:rPr>
        <w:t>测试报告已完成，缺陷统计、需求覆盖情况与测试结论明确。</w:t>
      </w:r>
    </w:p>
    <w:p>
      <w:pPr>
        <w:pStyle w:val="Heading1"/>
      </w:pPr>
      <w:r>
        <w:t>8 风险与应对措施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34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需求文档存在重复条目与图文不一致（OBS-007），可能导致用例设计依据不唯一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3458"/>
          </w:tcPr>
          <w:p>
            <w:r/>
            <w:r>
              <w:rPr>
                <w:rFonts w:ascii="宋体" w:hAnsi="宋体" w:eastAsia="宋体"/>
                <w:sz w:val="19"/>
              </w:rPr>
              <w:t>以需求正文条款与状态表为准，记录歧义并在评审时向设计岗确认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接口文档章节覆盖不完整（OBS-008），少数接口缺少详细约定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458"/>
          </w:tcPr>
          <w:p>
            <w:r/>
            <w:r>
              <w:rPr>
                <w:rFonts w:ascii="宋体" w:hAnsi="宋体" w:eastAsia="宋体"/>
                <w:sz w:val="19"/>
              </w:rPr>
              <w:t>以实际接口行为为准补充用例，并将差异记入观察项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并发类用例依赖线程时序，可能偶发不稳定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3458"/>
          </w:tcPr>
          <w:p>
            <w:r/>
            <w:r>
              <w:rPr>
                <w:rFonts w:ascii="宋体" w:hAnsi="宋体" w:eastAsia="宋体"/>
                <w:sz w:val="19"/>
              </w:rPr>
              <w:t>固定并发规模为 20 线程，重复执行确认结果稳定后再采信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金额精度、字符集等边界问题易被常规用例遗漏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3458"/>
          </w:tcPr>
          <w:p>
            <w:r/>
            <w:r>
              <w:rPr>
                <w:rFonts w:ascii="宋体" w:hAnsi="宋体" w:eastAsia="宋体"/>
                <w:sz w:val="19"/>
              </w:rPr>
              <w:t>采用边界值分析与错误推测法，结合代码走查结果针对性设计用例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前端交互细节（二次确认、空状态）难以自动化验证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458"/>
          </w:tcPr>
          <w:p>
            <w:r/>
            <w:r>
              <w:rPr>
                <w:rFonts w:ascii="宋体" w:hAnsi="宋体" w:eastAsia="宋体"/>
                <w:sz w:val="19"/>
              </w:rPr>
              <w:t>以代码走查与人工走查结合的方式核对，并在报告中说明验证方式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课程环境无法验证性能与可用性类非功能需求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3458"/>
          </w:tcPr>
          <w:p>
            <w:r/>
            <w:r>
              <w:rPr>
                <w:rFonts w:ascii="宋体" w:hAnsi="宋体" w:eastAsia="宋体"/>
                <w:sz w:val="19"/>
              </w:rPr>
              <w:t>在报告中明确说明未覆盖项与原因，避免过度承诺</w:t>
            </w:r>
          </w:p>
        </w:tc>
      </w:tr>
    </w:tbl>
    <w:p/>
    <w:p>
      <w:pPr>
        <w:pStyle w:val="Heading1"/>
      </w:pPr>
      <w:r>
        <w:t>9 交付物清单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type="dxa" w:w="323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测试计划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Word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sz w:val="19"/>
              </w:rPr>
              <w:t>本文档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测试用例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Excel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sz w:val="19"/>
              </w:rPr>
              <w:t>含用例明细、用例总览、需求覆盖矩阵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BUG 记录与汇总表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Excel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sz w:val="19"/>
              </w:rPr>
              <w:t>含缺陷汇总、缺陷明细、观察项与建议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测试报告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Word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sz w:val="19"/>
              </w:rPr>
              <w:t>含执行情况、缺陷分析、结论与遗留问题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功能验收校验清单与上线合规检查表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Excel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sz w:val="19"/>
              </w:rPr>
              <w:t>含验收清单、合规检查表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自动化测试脚本与原始结果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Python / JSON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sz w:val="19"/>
              </w:rPr>
              <w:t>黑盒功能测试套件与结构化执行结果</w:t>
            </w:r>
          </w:p>
        </w:tc>
      </w:tr>
    </w:tbl>
    <w:p/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在线购物系统（单卖家版）测试计划</dc:title>
  <dc:subject/>
  <dc:creator>缪茂锦（测试岗）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