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3746" w14:textId="77777777" w:rsidR="006A4FF7" w:rsidRPr="006A4FF7" w:rsidRDefault="006A4FF7" w:rsidP="006A4FF7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6A4FF7">
        <w:rPr>
          <w:rFonts w:ascii="Segoe UI Emoji" w:hAnsi="Segoe UI Emoji" w:cs="Segoe UI Emoji"/>
          <w:b/>
          <w:bCs/>
          <w:sz w:val="24"/>
          <w:szCs w:val="24"/>
          <w:lang w:val="en-ZA"/>
        </w:rPr>
        <w:t>📊</w:t>
      </w:r>
      <w:r w:rsidRPr="006A4FF7">
        <w:rPr>
          <w:rFonts w:ascii="Arial" w:hAnsi="Arial" w:cs="Arial"/>
          <w:b/>
          <w:bCs/>
          <w:sz w:val="24"/>
          <w:szCs w:val="24"/>
          <w:lang w:val="en-ZA"/>
        </w:rPr>
        <w:t xml:space="preserve"> Marketing Campaign Performance Analysis</w:t>
      </w:r>
    </w:p>
    <w:p w14:paraId="5F173472" w14:textId="77777777" w:rsidR="006A4FF7" w:rsidRPr="006A4FF7" w:rsidRDefault="006A4FF7" w:rsidP="006A4FF7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6A4FF7">
        <w:rPr>
          <w:rFonts w:ascii="Arial" w:hAnsi="Arial" w:cs="Arial"/>
          <w:b/>
          <w:bCs/>
          <w:sz w:val="24"/>
          <w:szCs w:val="24"/>
          <w:lang w:val="en-ZA"/>
        </w:rPr>
        <w:t>1. Business Problem</w:t>
      </w:r>
    </w:p>
    <w:p w14:paraId="1843E636" w14:textId="77777777" w:rsidR="006A4FF7" w:rsidRPr="006A4FF7" w:rsidRDefault="006A4FF7" w:rsidP="006A4FF7">
      <w:p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The marketing department has invested in multiple campaigns across various channels, locations, and customer segments but lacks clarity on which strategies are driving meaningful financial returns.</w:t>
      </w:r>
    </w:p>
    <w:p w14:paraId="7FE37590" w14:textId="77777777" w:rsidR="006A4FF7" w:rsidRPr="006A4FF7" w:rsidRDefault="006A4FF7" w:rsidP="006A4FF7">
      <w:p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The objective of this analysis is to:</w:t>
      </w:r>
    </w:p>
    <w:p w14:paraId="54220E3F" w14:textId="77777777" w:rsidR="006A4FF7" w:rsidRPr="006A4FF7" w:rsidRDefault="006A4FF7" w:rsidP="006A4FF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Identify high-performing channels and campaign types</w:t>
      </w:r>
    </w:p>
    <w:p w14:paraId="39896752" w14:textId="77777777" w:rsidR="006A4FF7" w:rsidRPr="006A4FF7" w:rsidRDefault="006A4FF7" w:rsidP="006A4FF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Detect underperforming regions</w:t>
      </w:r>
    </w:p>
    <w:p w14:paraId="674D85DC" w14:textId="77777777" w:rsidR="006A4FF7" w:rsidRPr="006A4FF7" w:rsidRDefault="006A4FF7" w:rsidP="006A4FF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Evaluate cost efficiency</w:t>
      </w:r>
    </w:p>
    <w:p w14:paraId="2415374B" w14:textId="77777777" w:rsidR="006A4FF7" w:rsidRPr="006A4FF7" w:rsidRDefault="006A4FF7" w:rsidP="006A4FF7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Provide data-driven recommendations for future budget allocation</w:t>
      </w:r>
    </w:p>
    <w:p w14:paraId="5CF70113" w14:textId="77777777" w:rsidR="006A4FF7" w:rsidRPr="006A4FF7" w:rsidRDefault="00000000" w:rsidP="006A4FF7">
      <w:pPr>
        <w:rPr>
          <w:rFonts w:ascii="Arial" w:hAnsi="Arial" w:cs="Arial"/>
          <w:sz w:val="24"/>
          <w:szCs w:val="24"/>
          <w:lang w:val="en-ZA"/>
        </w:rPr>
      </w:pPr>
      <w:r>
        <w:rPr>
          <w:rFonts w:ascii="Arial" w:hAnsi="Arial" w:cs="Arial"/>
          <w:sz w:val="24"/>
          <w:szCs w:val="24"/>
          <w:lang w:val="en-ZA"/>
        </w:rPr>
        <w:pict w14:anchorId="7B166E85">
          <v:rect id="_x0000_i1025" style="width:0;height:1.5pt" o:hralign="center" o:hrstd="t" o:hr="t" fillcolor="#a0a0a0" stroked="f"/>
        </w:pict>
      </w:r>
    </w:p>
    <w:p w14:paraId="0AF12506" w14:textId="77777777" w:rsidR="006A4FF7" w:rsidRPr="006A4FF7" w:rsidRDefault="006A4FF7" w:rsidP="006A4FF7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6A4FF7">
        <w:rPr>
          <w:rFonts w:ascii="Arial" w:hAnsi="Arial" w:cs="Arial"/>
          <w:b/>
          <w:bCs/>
          <w:sz w:val="24"/>
          <w:szCs w:val="24"/>
          <w:lang w:val="en-ZA"/>
        </w:rPr>
        <w:t>2. Dataset Overview</w:t>
      </w:r>
    </w:p>
    <w:p w14:paraId="602618F7" w14:textId="77777777" w:rsidR="006A4FF7" w:rsidRPr="006A4FF7" w:rsidRDefault="006A4FF7" w:rsidP="006A4FF7">
      <w:p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Source: Kaggle – Marketing Campaign Performance Dataset</w:t>
      </w:r>
      <w:r w:rsidRPr="006A4FF7">
        <w:rPr>
          <w:rFonts w:ascii="Arial" w:hAnsi="Arial" w:cs="Arial"/>
          <w:sz w:val="24"/>
          <w:szCs w:val="24"/>
          <w:lang w:val="en-ZA"/>
        </w:rPr>
        <w:br/>
        <w:t>200,000 campaign records spanning two years.</w:t>
      </w:r>
    </w:p>
    <w:p w14:paraId="3098A801" w14:textId="77777777" w:rsidR="006A4FF7" w:rsidRPr="006A4FF7" w:rsidRDefault="006A4FF7" w:rsidP="006A4FF7">
      <w:p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The dataset includes:</w:t>
      </w:r>
    </w:p>
    <w:p w14:paraId="6B71F3E5" w14:textId="77777777" w:rsidR="006A4FF7" w:rsidRPr="006A4FF7" w:rsidRDefault="006A4FF7" w:rsidP="006A4FF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Campaign characteristics (Type, Duration, Channel, Location, Language)</w:t>
      </w:r>
    </w:p>
    <w:p w14:paraId="0DA6879D" w14:textId="77777777" w:rsidR="006A4FF7" w:rsidRPr="006A4FF7" w:rsidRDefault="006A4FF7" w:rsidP="006A4FF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Performance metrics (Conversion Rate, ROI, Acquisition Cost)</w:t>
      </w:r>
    </w:p>
    <w:p w14:paraId="48AD4968" w14:textId="77777777" w:rsidR="006A4FF7" w:rsidRPr="006A4FF7" w:rsidRDefault="006A4FF7" w:rsidP="006A4FF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Engagement metrics (Clicks, Impressions, Engagement Score)</w:t>
      </w:r>
    </w:p>
    <w:p w14:paraId="3AE5FD8A" w14:textId="77777777" w:rsidR="006A4FF7" w:rsidRPr="006A4FF7" w:rsidRDefault="006A4FF7" w:rsidP="006A4FF7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Targeting attributes (Customer Segment, Target Audience)</w:t>
      </w:r>
    </w:p>
    <w:p w14:paraId="243C5A0C" w14:textId="77777777" w:rsidR="006A4FF7" w:rsidRPr="006A4FF7" w:rsidRDefault="00000000" w:rsidP="006A4FF7">
      <w:pPr>
        <w:rPr>
          <w:rFonts w:ascii="Arial" w:hAnsi="Arial" w:cs="Arial"/>
          <w:sz w:val="24"/>
          <w:szCs w:val="24"/>
          <w:lang w:val="en-ZA"/>
        </w:rPr>
      </w:pPr>
      <w:r>
        <w:rPr>
          <w:rFonts w:ascii="Arial" w:hAnsi="Arial" w:cs="Arial"/>
          <w:sz w:val="24"/>
          <w:szCs w:val="24"/>
          <w:lang w:val="en-ZA"/>
        </w:rPr>
        <w:pict w14:anchorId="269ADBD4">
          <v:rect id="_x0000_i1026" style="width:0;height:1.5pt" o:hralign="center" o:hrstd="t" o:hr="t" fillcolor="#a0a0a0" stroked="f"/>
        </w:pict>
      </w:r>
    </w:p>
    <w:p w14:paraId="3A5739B4" w14:textId="77777777" w:rsidR="006A4FF7" w:rsidRPr="006A4FF7" w:rsidRDefault="006A4FF7" w:rsidP="006A4FF7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6A4FF7">
        <w:rPr>
          <w:rFonts w:ascii="Arial" w:hAnsi="Arial" w:cs="Arial"/>
          <w:b/>
          <w:bCs/>
          <w:sz w:val="24"/>
          <w:szCs w:val="24"/>
          <w:lang w:val="en-ZA"/>
        </w:rPr>
        <w:t>3. Data Cleaning &amp; Preparation</w:t>
      </w:r>
    </w:p>
    <w:p w14:paraId="3F4D82D6" w14:textId="77777777" w:rsidR="006A4FF7" w:rsidRPr="006A4FF7" w:rsidRDefault="006A4FF7" w:rsidP="006A4FF7">
      <w:p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The dataset was initially explored in Excel; however, due to its size, processing was moved to MySQL.</w:t>
      </w:r>
    </w:p>
    <w:p w14:paraId="1BA11A6B" w14:textId="77777777" w:rsidR="006A4FF7" w:rsidRPr="006A4FF7" w:rsidRDefault="006A4FF7" w:rsidP="006A4FF7">
      <w:p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Key preparation steps:</w:t>
      </w:r>
    </w:p>
    <w:p w14:paraId="0E7F4A13" w14:textId="77777777" w:rsidR="006A4FF7" w:rsidRPr="006A4FF7" w:rsidRDefault="006A4FF7" w:rsidP="006A4FF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Created a clean table with corrected data types.</w:t>
      </w:r>
    </w:p>
    <w:p w14:paraId="44496E27" w14:textId="77777777" w:rsidR="006A4FF7" w:rsidRPr="006A4FF7" w:rsidRDefault="006A4FF7" w:rsidP="006A4FF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 xml:space="preserve">Converted Duration from text format to numeric using </w:t>
      </w:r>
      <w:proofErr w:type="gramStart"/>
      <w:r w:rsidRPr="006A4FF7">
        <w:rPr>
          <w:rFonts w:ascii="Arial" w:hAnsi="Arial" w:cs="Arial"/>
          <w:sz w:val="24"/>
          <w:szCs w:val="24"/>
          <w:lang w:val="en-ZA"/>
        </w:rPr>
        <w:t>CAST(</w:t>
      </w:r>
      <w:proofErr w:type="gramEnd"/>
      <w:r w:rsidRPr="006A4FF7">
        <w:rPr>
          <w:rFonts w:ascii="Arial" w:hAnsi="Arial" w:cs="Arial"/>
          <w:sz w:val="24"/>
          <w:szCs w:val="24"/>
          <w:lang w:val="en-ZA"/>
        </w:rPr>
        <w:t xml:space="preserve">) and </w:t>
      </w:r>
      <w:proofErr w:type="gramStart"/>
      <w:r w:rsidRPr="006A4FF7">
        <w:rPr>
          <w:rFonts w:ascii="Arial" w:hAnsi="Arial" w:cs="Arial"/>
          <w:sz w:val="24"/>
          <w:szCs w:val="24"/>
          <w:lang w:val="en-ZA"/>
        </w:rPr>
        <w:t>REPLACE(</w:t>
      </w:r>
      <w:proofErr w:type="gramEnd"/>
      <w:r w:rsidRPr="006A4FF7">
        <w:rPr>
          <w:rFonts w:ascii="Arial" w:hAnsi="Arial" w:cs="Arial"/>
          <w:sz w:val="24"/>
          <w:szCs w:val="24"/>
          <w:lang w:val="en-ZA"/>
        </w:rPr>
        <w:t>) to ensure accurate aggregation.</w:t>
      </w:r>
    </w:p>
    <w:p w14:paraId="5013B14C" w14:textId="77777777" w:rsidR="006A4FF7" w:rsidRPr="006A4FF7" w:rsidRDefault="006A4FF7" w:rsidP="006A4FF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 xml:space="preserve">Used </w:t>
      </w:r>
      <w:proofErr w:type="gramStart"/>
      <w:r w:rsidRPr="006A4FF7">
        <w:rPr>
          <w:rFonts w:ascii="Arial" w:hAnsi="Arial" w:cs="Arial"/>
          <w:sz w:val="24"/>
          <w:szCs w:val="24"/>
          <w:lang w:val="en-ZA"/>
        </w:rPr>
        <w:t>NULLIF(</w:t>
      </w:r>
      <w:proofErr w:type="gramEnd"/>
      <w:r w:rsidRPr="006A4FF7">
        <w:rPr>
          <w:rFonts w:ascii="Arial" w:hAnsi="Arial" w:cs="Arial"/>
          <w:sz w:val="24"/>
          <w:szCs w:val="24"/>
          <w:lang w:val="en-ZA"/>
        </w:rPr>
        <w:t>) in calculated fields to prevent division-by-zero errors.</w:t>
      </w:r>
    </w:p>
    <w:p w14:paraId="1E85965D" w14:textId="77777777" w:rsidR="006A4FF7" w:rsidRPr="006A4FF7" w:rsidRDefault="006A4FF7" w:rsidP="006A4FF7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Standardized date formatting for monthly trend analysis.</w:t>
      </w:r>
    </w:p>
    <w:p w14:paraId="05E63AE4" w14:textId="77777777" w:rsidR="006A4FF7" w:rsidRPr="006A4FF7" w:rsidRDefault="006A4FF7" w:rsidP="006A4FF7">
      <w:p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These steps ensured reliable metric calculations for analysis.</w:t>
      </w:r>
    </w:p>
    <w:p w14:paraId="6C6DECC8" w14:textId="77777777" w:rsidR="006A4FF7" w:rsidRPr="006A4FF7" w:rsidRDefault="00000000" w:rsidP="006A4FF7">
      <w:pPr>
        <w:rPr>
          <w:rFonts w:ascii="Arial" w:hAnsi="Arial" w:cs="Arial"/>
          <w:sz w:val="24"/>
          <w:szCs w:val="24"/>
          <w:lang w:val="en-ZA"/>
        </w:rPr>
      </w:pPr>
      <w:r>
        <w:rPr>
          <w:rFonts w:ascii="Arial" w:hAnsi="Arial" w:cs="Arial"/>
          <w:sz w:val="24"/>
          <w:szCs w:val="24"/>
          <w:lang w:val="en-ZA"/>
        </w:rPr>
        <w:pict w14:anchorId="1DF02311">
          <v:rect id="_x0000_i1027" style="width:0;height:1.5pt" o:hralign="center" o:hrstd="t" o:hr="t" fillcolor="#a0a0a0" stroked="f"/>
        </w:pict>
      </w:r>
    </w:p>
    <w:p w14:paraId="50219816" w14:textId="77777777" w:rsidR="006A4FF7" w:rsidRPr="006A4FF7" w:rsidRDefault="006A4FF7" w:rsidP="006A4FF7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6A4FF7">
        <w:rPr>
          <w:rFonts w:ascii="Arial" w:hAnsi="Arial" w:cs="Arial"/>
          <w:b/>
          <w:bCs/>
          <w:sz w:val="24"/>
          <w:szCs w:val="24"/>
          <w:lang w:val="en-ZA"/>
        </w:rPr>
        <w:t>4. Key Insights</w:t>
      </w:r>
    </w:p>
    <w:p w14:paraId="33D45F55" w14:textId="77777777" w:rsidR="006A4FF7" w:rsidRPr="006A4FF7" w:rsidRDefault="006A4FF7" w:rsidP="006A4FF7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6A4FF7">
        <w:rPr>
          <w:rFonts w:ascii="Segoe UI Emoji" w:hAnsi="Segoe UI Emoji" w:cs="Segoe UI Emoji"/>
          <w:b/>
          <w:bCs/>
          <w:sz w:val="24"/>
          <w:szCs w:val="24"/>
          <w:lang w:val="en-ZA"/>
        </w:rPr>
        <w:lastRenderedPageBreak/>
        <w:t>🔹</w:t>
      </w:r>
      <w:r w:rsidRPr="006A4FF7">
        <w:rPr>
          <w:rFonts w:ascii="Arial" w:hAnsi="Arial" w:cs="Arial"/>
          <w:b/>
          <w:bCs/>
          <w:sz w:val="24"/>
          <w:szCs w:val="24"/>
          <w:lang w:val="en-ZA"/>
        </w:rPr>
        <w:t xml:space="preserve"> Campaign Duration</w:t>
      </w:r>
    </w:p>
    <w:p w14:paraId="755A0376" w14:textId="77777777" w:rsidR="006A4FF7" w:rsidRPr="006A4FF7" w:rsidRDefault="006A4FF7" w:rsidP="006A4FF7">
      <w:p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Search campaigns have the longest average duration.</w:t>
      </w:r>
    </w:p>
    <w:p w14:paraId="1943BFEE" w14:textId="77777777" w:rsidR="006A4FF7" w:rsidRPr="006A4FF7" w:rsidRDefault="006A4FF7" w:rsidP="006A4FF7">
      <w:p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However, duration alone does not determine profitability and was further evaluated alongside ROI and cost metrics.</w:t>
      </w:r>
    </w:p>
    <w:p w14:paraId="5726BCE4" w14:textId="77777777" w:rsidR="006A4FF7" w:rsidRPr="006A4FF7" w:rsidRDefault="00000000" w:rsidP="006A4FF7">
      <w:pPr>
        <w:rPr>
          <w:rFonts w:ascii="Arial" w:hAnsi="Arial" w:cs="Arial"/>
          <w:sz w:val="24"/>
          <w:szCs w:val="24"/>
          <w:lang w:val="en-ZA"/>
        </w:rPr>
      </w:pPr>
      <w:r>
        <w:rPr>
          <w:rFonts w:ascii="Arial" w:hAnsi="Arial" w:cs="Arial"/>
          <w:sz w:val="24"/>
          <w:szCs w:val="24"/>
          <w:lang w:val="en-ZA"/>
        </w:rPr>
        <w:pict w14:anchorId="207E0EDB">
          <v:rect id="_x0000_i1028" style="width:0;height:1.5pt" o:hralign="center" o:hrstd="t" o:hr="t" fillcolor="#a0a0a0" stroked="f"/>
        </w:pict>
      </w:r>
    </w:p>
    <w:p w14:paraId="04294FD9" w14:textId="77777777" w:rsidR="006A4FF7" w:rsidRPr="006A4FF7" w:rsidRDefault="006A4FF7" w:rsidP="006A4FF7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6A4FF7">
        <w:rPr>
          <w:rFonts w:ascii="Segoe UI Emoji" w:hAnsi="Segoe UI Emoji" w:cs="Segoe UI Emoji"/>
          <w:b/>
          <w:bCs/>
          <w:sz w:val="24"/>
          <w:szCs w:val="24"/>
          <w:lang w:val="en-ZA"/>
        </w:rPr>
        <w:t>🔹</w:t>
      </w:r>
      <w:r w:rsidRPr="006A4FF7">
        <w:rPr>
          <w:rFonts w:ascii="Arial" w:hAnsi="Arial" w:cs="Arial"/>
          <w:b/>
          <w:bCs/>
          <w:sz w:val="24"/>
          <w:szCs w:val="24"/>
          <w:lang w:val="en-ZA"/>
        </w:rPr>
        <w:t xml:space="preserve"> Channel Performance (ROI &amp; Conversion Rate)</w:t>
      </w:r>
    </w:p>
    <w:p w14:paraId="3FE8E337" w14:textId="77777777" w:rsidR="006A4FF7" w:rsidRPr="006A4FF7" w:rsidRDefault="006A4FF7" w:rsidP="006A4FF7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Conversion rates are consistent across all channels, indicating similar funnel effectiveness.</w:t>
      </w:r>
    </w:p>
    <w:p w14:paraId="64619556" w14:textId="77777777" w:rsidR="006A4FF7" w:rsidRPr="006A4FF7" w:rsidRDefault="006A4FF7" w:rsidP="006A4FF7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YouTube generates the highest average ROI despite similar conversion rates.</w:t>
      </w:r>
    </w:p>
    <w:p w14:paraId="0EAAF4B6" w14:textId="77777777" w:rsidR="006A4FF7" w:rsidRPr="006A4FF7" w:rsidRDefault="006A4FF7" w:rsidP="006A4FF7">
      <w:p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b/>
          <w:bCs/>
          <w:sz w:val="24"/>
          <w:szCs w:val="24"/>
          <w:lang w:val="en-ZA"/>
        </w:rPr>
        <w:t>Implication:</w:t>
      </w:r>
      <w:r w:rsidRPr="006A4FF7">
        <w:rPr>
          <w:rFonts w:ascii="Arial" w:hAnsi="Arial" w:cs="Arial"/>
          <w:sz w:val="24"/>
          <w:szCs w:val="24"/>
          <w:lang w:val="en-ZA"/>
        </w:rPr>
        <w:t xml:space="preserve"> ROI differences are likely driven by cost efficiency rather than conversion effectiveness.</w:t>
      </w:r>
    </w:p>
    <w:p w14:paraId="4F7AB63E" w14:textId="77777777" w:rsidR="006A4FF7" w:rsidRPr="006A4FF7" w:rsidRDefault="00000000" w:rsidP="006A4FF7">
      <w:pPr>
        <w:rPr>
          <w:rFonts w:ascii="Arial" w:hAnsi="Arial" w:cs="Arial"/>
          <w:sz w:val="24"/>
          <w:szCs w:val="24"/>
          <w:lang w:val="en-ZA"/>
        </w:rPr>
      </w:pPr>
      <w:r>
        <w:rPr>
          <w:rFonts w:ascii="Arial" w:hAnsi="Arial" w:cs="Arial"/>
          <w:sz w:val="24"/>
          <w:szCs w:val="24"/>
          <w:lang w:val="en-ZA"/>
        </w:rPr>
        <w:pict w14:anchorId="1F0CAC92">
          <v:rect id="_x0000_i1029" style="width:0;height:1.5pt" o:hralign="center" o:hrstd="t" o:hr="t" fillcolor="#a0a0a0" stroked="f"/>
        </w:pict>
      </w:r>
    </w:p>
    <w:p w14:paraId="31AE5758" w14:textId="77777777" w:rsidR="006A4FF7" w:rsidRPr="006A4FF7" w:rsidRDefault="006A4FF7" w:rsidP="006A4FF7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6A4FF7">
        <w:rPr>
          <w:rFonts w:ascii="Segoe UI Emoji" w:hAnsi="Segoe UI Emoji" w:cs="Segoe UI Emoji"/>
          <w:b/>
          <w:bCs/>
          <w:sz w:val="24"/>
          <w:szCs w:val="24"/>
          <w:lang w:val="en-ZA"/>
        </w:rPr>
        <w:t>🔹</w:t>
      </w:r>
      <w:r w:rsidRPr="006A4FF7">
        <w:rPr>
          <w:rFonts w:ascii="Arial" w:hAnsi="Arial" w:cs="Arial"/>
          <w:b/>
          <w:bCs/>
          <w:sz w:val="24"/>
          <w:szCs w:val="24"/>
          <w:lang w:val="en-ZA"/>
        </w:rPr>
        <w:t xml:space="preserve"> Channels Outperforming Portfolio Average</w:t>
      </w:r>
    </w:p>
    <w:p w14:paraId="08599740" w14:textId="77777777" w:rsidR="006A4FF7" w:rsidRPr="006A4FF7" w:rsidRDefault="006A4FF7" w:rsidP="006A4FF7">
      <w:p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Facebook, Website, and Google Ads exceed the overall average ROI.</w:t>
      </w:r>
    </w:p>
    <w:p w14:paraId="700C2247" w14:textId="77777777" w:rsidR="006A4FF7" w:rsidRPr="006A4FF7" w:rsidRDefault="006A4FF7" w:rsidP="006A4FF7">
      <w:p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b/>
          <w:bCs/>
          <w:sz w:val="24"/>
          <w:szCs w:val="24"/>
          <w:lang w:val="en-ZA"/>
        </w:rPr>
        <w:t>Implication:</w:t>
      </w:r>
      <w:r w:rsidRPr="006A4FF7">
        <w:rPr>
          <w:rFonts w:ascii="Arial" w:hAnsi="Arial" w:cs="Arial"/>
          <w:sz w:val="24"/>
          <w:szCs w:val="24"/>
          <w:lang w:val="en-ZA"/>
        </w:rPr>
        <w:t xml:space="preserve"> These channels represent scalable opportunities for increased investment.</w:t>
      </w:r>
    </w:p>
    <w:p w14:paraId="1C8BE832" w14:textId="77777777" w:rsidR="006A4FF7" w:rsidRPr="006A4FF7" w:rsidRDefault="00000000" w:rsidP="006A4FF7">
      <w:pPr>
        <w:rPr>
          <w:rFonts w:ascii="Arial" w:hAnsi="Arial" w:cs="Arial"/>
          <w:sz w:val="24"/>
          <w:szCs w:val="24"/>
          <w:lang w:val="en-ZA"/>
        </w:rPr>
      </w:pPr>
      <w:r>
        <w:rPr>
          <w:rFonts w:ascii="Arial" w:hAnsi="Arial" w:cs="Arial"/>
          <w:sz w:val="24"/>
          <w:szCs w:val="24"/>
          <w:lang w:val="en-ZA"/>
        </w:rPr>
        <w:pict w14:anchorId="44451BAE">
          <v:rect id="_x0000_i1030" style="width:0;height:1.5pt" o:hralign="center" o:hrstd="t" o:hr="t" fillcolor="#a0a0a0" stroked="f"/>
        </w:pict>
      </w:r>
    </w:p>
    <w:p w14:paraId="3E5776F1" w14:textId="77777777" w:rsidR="006A4FF7" w:rsidRPr="006A4FF7" w:rsidRDefault="006A4FF7" w:rsidP="006A4FF7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6A4FF7">
        <w:rPr>
          <w:rFonts w:ascii="Segoe UI Emoji" w:hAnsi="Segoe UI Emoji" w:cs="Segoe UI Emoji"/>
          <w:b/>
          <w:bCs/>
          <w:sz w:val="24"/>
          <w:szCs w:val="24"/>
          <w:lang w:val="en-ZA"/>
        </w:rPr>
        <w:t>🔹</w:t>
      </w:r>
      <w:r w:rsidRPr="006A4FF7">
        <w:rPr>
          <w:rFonts w:ascii="Arial" w:hAnsi="Arial" w:cs="Arial"/>
          <w:b/>
          <w:bCs/>
          <w:sz w:val="24"/>
          <w:szCs w:val="24"/>
          <w:lang w:val="en-ZA"/>
        </w:rPr>
        <w:t xml:space="preserve"> Regional Performance</w:t>
      </w:r>
    </w:p>
    <w:p w14:paraId="3C7ADEE8" w14:textId="77777777" w:rsidR="006A4FF7" w:rsidRPr="006A4FF7" w:rsidRDefault="006A4FF7" w:rsidP="006A4FF7">
      <w:p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Chicago and New York generate high impressions but below-average ROI.</w:t>
      </w:r>
    </w:p>
    <w:p w14:paraId="50C63E93" w14:textId="77777777" w:rsidR="006A4FF7" w:rsidRPr="006A4FF7" w:rsidRDefault="006A4FF7" w:rsidP="006A4FF7">
      <w:p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b/>
          <w:bCs/>
          <w:sz w:val="24"/>
          <w:szCs w:val="24"/>
          <w:lang w:val="en-ZA"/>
        </w:rPr>
        <w:t>Implication:</w:t>
      </w:r>
      <w:r w:rsidRPr="006A4FF7">
        <w:rPr>
          <w:rFonts w:ascii="Arial" w:hAnsi="Arial" w:cs="Arial"/>
          <w:sz w:val="24"/>
          <w:szCs w:val="24"/>
          <w:lang w:val="en-ZA"/>
        </w:rPr>
        <w:t xml:space="preserve"> Campaign targeting, messaging, or channel allocation in these regions should be reviewed to improve financial return.</w:t>
      </w:r>
    </w:p>
    <w:p w14:paraId="605B7481" w14:textId="77777777" w:rsidR="006A4FF7" w:rsidRPr="006A4FF7" w:rsidRDefault="00000000" w:rsidP="006A4FF7">
      <w:pPr>
        <w:rPr>
          <w:rFonts w:ascii="Arial" w:hAnsi="Arial" w:cs="Arial"/>
          <w:sz w:val="24"/>
          <w:szCs w:val="24"/>
          <w:lang w:val="en-ZA"/>
        </w:rPr>
      </w:pPr>
      <w:r>
        <w:rPr>
          <w:rFonts w:ascii="Arial" w:hAnsi="Arial" w:cs="Arial"/>
          <w:sz w:val="24"/>
          <w:szCs w:val="24"/>
          <w:lang w:val="en-ZA"/>
        </w:rPr>
        <w:pict w14:anchorId="2A43B65B">
          <v:rect id="_x0000_i1031" style="width:0;height:1.5pt" o:hralign="center" o:hrstd="t" o:hr="t" fillcolor="#a0a0a0" stroked="f"/>
        </w:pict>
      </w:r>
    </w:p>
    <w:p w14:paraId="2F91504E" w14:textId="77777777" w:rsidR="006A4FF7" w:rsidRPr="006A4FF7" w:rsidRDefault="006A4FF7" w:rsidP="006A4FF7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6A4FF7">
        <w:rPr>
          <w:rFonts w:ascii="Segoe UI Emoji" w:hAnsi="Segoe UI Emoji" w:cs="Segoe UI Emoji"/>
          <w:b/>
          <w:bCs/>
          <w:sz w:val="24"/>
          <w:szCs w:val="24"/>
          <w:lang w:val="en-ZA"/>
        </w:rPr>
        <w:t>🔹</w:t>
      </w:r>
      <w:r w:rsidRPr="006A4FF7">
        <w:rPr>
          <w:rFonts w:ascii="Arial" w:hAnsi="Arial" w:cs="Arial"/>
          <w:b/>
          <w:bCs/>
          <w:sz w:val="24"/>
          <w:szCs w:val="24"/>
          <w:lang w:val="en-ZA"/>
        </w:rPr>
        <w:t xml:space="preserve"> Customer Segment Performance</w:t>
      </w:r>
    </w:p>
    <w:p w14:paraId="74C29933" w14:textId="77777777" w:rsidR="006A4FF7" w:rsidRPr="006A4FF7" w:rsidRDefault="006A4FF7" w:rsidP="006A4FF7">
      <w:p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ROI differences across customer segments are minimal.</w:t>
      </w:r>
      <w:r w:rsidRPr="006A4FF7">
        <w:rPr>
          <w:rFonts w:ascii="Arial" w:hAnsi="Arial" w:cs="Arial"/>
          <w:sz w:val="24"/>
          <w:szCs w:val="24"/>
          <w:lang w:val="en-ZA"/>
        </w:rPr>
        <w:br/>
        <w:t>At higher precision, the Foodies segment shows marginally higher returns.</w:t>
      </w:r>
    </w:p>
    <w:p w14:paraId="687C23B3" w14:textId="77777777" w:rsidR="006A4FF7" w:rsidRPr="006A4FF7" w:rsidRDefault="006A4FF7" w:rsidP="006A4FF7">
      <w:p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b/>
          <w:bCs/>
          <w:sz w:val="24"/>
          <w:szCs w:val="24"/>
          <w:lang w:val="en-ZA"/>
        </w:rPr>
        <w:t>Implication:</w:t>
      </w:r>
      <w:r w:rsidRPr="006A4FF7">
        <w:rPr>
          <w:rFonts w:ascii="Arial" w:hAnsi="Arial" w:cs="Arial"/>
          <w:sz w:val="24"/>
          <w:szCs w:val="24"/>
          <w:lang w:val="en-ZA"/>
        </w:rPr>
        <w:t xml:space="preserve"> Customer segment may not be a primary driver of ROI variation within this dataset.</w:t>
      </w:r>
    </w:p>
    <w:p w14:paraId="7D7272B3" w14:textId="77777777" w:rsidR="006A4FF7" w:rsidRPr="006A4FF7" w:rsidRDefault="00000000" w:rsidP="006A4FF7">
      <w:pPr>
        <w:rPr>
          <w:rFonts w:ascii="Arial" w:hAnsi="Arial" w:cs="Arial"/>
          <w:sz w:val="24"/>
          <w:szCs w:val="24"/>
          <w:lang w:val="en-ZA"/>
        </w:rPr>
      </w:pPr>
      <w:r>
        <w:rPr>
          <w:rFonts w:ascii="Arial" w:hAnsi="Arial" w:cs="Arial"/>
          <w:sz w:val="24"/>
          <w:szCs w:val="24"/>
          <w:lang w:val="en-ZA"/>
        </w:rPr>
        <w:pict w14:anchorId="02B79A3A">
          <v:rect id="_x0000_i1032" style="width:0;height:1.5pt" o:hralign="center" o:hrstd="t" o:hr="t" fillcolor="#a0a0a0" stroked="f"/>
        </w:pict>
      </w:r>
    </w:p>
    <w:p w14:paraId="2AA733B7" w14:textId="77777777" w:rsidR="006A4FF7" w:rsidRPr="006A4FF7" w:rsidRDefault="006A4FF7" w:rsidP="006A4FF7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6A4FF7">
        <w:rPr>
          <w:rFonts w:ascii="Segoe UI Emoji" w:hAnsi="Segoe UI Emoji" w:cs="Segoe UI Emoji"/>
          <w:b/>
          <w:bCs/>
          <w:sz w:val="24"/>
          <w:szCs w:val="24"/>
          <w:lang w:val="en-ZA"/>
        </w:rPr>
        <w:t>🔹</w:t>
      </w:r>
      <w:r w:rsidRPr="006A4FF7">
        <w:rPr>
          <w:rFonts w:ascii="Arial" w:hAnsi="Arial" w:cs="Arial"/>
          <w:b/>
          <w:bCs/>
          <w:sz w:val="24"/>
          <w:szCs w:val="24"/>
          <w:lang w:val="en-ZA"/>
        </w:rPr>
        <w:t xml:space="preserve"> Cost Efficiency</w:t>
      </w:r>
    </w:p>
    <w:p w14:paraId="6B77C287" w14:textId="77777777" w:rsidR="006A4FF7" w:rsidRPr="006A4FF7" w:rsidRDefault="006A4FF7" w:rsidP="006A4FF7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Google Ads has the highest acquisition cost and highest cost-per-click.</w:t>
      </w:r>
    </w:p>
    <w:p w14:paraId="6C6EA715" w14:textId="77777777" w:rsidR="006A4FF7" w:rsidRPr="006A4FF7" w:rsidRDefault="006A4FF7" w:rsidP="006A4FF7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Search campaigns demonstrate strong engagement yield while maintaining relatively lower acquisition costs.</w:t>
      </w:r>
    </w:p>
    <w:p w14:paraId="6C0CBC26" w14:textId="77777777" w:rsidR="006A4FF7" w:rsidRPr="006A4FF7" w:rsidRDefault="006A4FF7" w:rsidP="006A4FF7">
      <w:p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b/>
          <w:bCs/>
          <w:sz w:val="24"/>
          <w:szCs w:val="24"/>
          <w:lang w:val="en-ZA"/>
        </w:rPr>
        <w:lastRenderedPageBreak/>
        <w:t>Implication:</w:t>
      </w:r>
      <w:r w:rsidRPr="006A4FF7">
        <w:rPr>
          <w:rFonts w:ascii="Arial" w:hAnsi="Arial" w:cs="Arial"/>
          <w:sz w:val="24"/>
          <w:szCs w:val="24"/>
          <w:lang w:val="en-ZA"/>
        </w:rPr>
        <w:t xml:space="preserve"> Search campaigns appear to offer strong engagement efficiency relative to cost.</w:t>
      </w:r>
    </w:p>
    <w:p w14:paraId="3F9AF0D2" w14:textId="77777777" w:rsidR="006A4FF7" w:rsidRPr="006A4FF7" w:rsidRDefault="00000000" w:rsidP="006A4FF7">
      <w:pPr>
        <w:rPr>
          <w:rFonts w:ascii="Arial" w:hAnsi="Arial" w:cs="Arial"/>
          <w:sz w:val="24"/>
          <w:szCs w:val="24"/>
          <w:lang w:val="en-ZA"/>
        </w:rPr>
      </w:pPr>
      <w:r>
        <w:rPr>
          <w:rFonts w:ascii="Arial" w:hAnsi="Arial" w:cs="Arial"/>
          <w:sz w:val="24"/>
          <w:szCs w:val="24"/>
          <w:lang w:val="en-ZA"/>
        </w:rPr>
        <w:pict w14:anchorId="58A45C64">
          <v:rect id="_x0000_i1033" style="width:0;height:1.5pt" o:hralign="center" o:hrstd="t" o:hr="t" fillcolor="#a0a0a0" stroked="f"/>
        </w:pict>
      </w:r>
    </w:p>
    <w:p w14:paraId="36157B3C" w14:textId="77777777" w:rsidR="006A4FF7" w:rsidRPr="006A4FF7" w:rsidRDefault="006A4FF7" w:rsidP="006A4FF7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6A4FF7">
        <w:rPr>
          <w:rFonts w:ascii="Segoe UI Emoji" w:hAnsi="Segoe UI Emoji" w:cs="Segoe UI Emoji"/>
          <w:b/>
          <w:bCs/>
          <w:sz w:val="24"/>
          <w:szCs w:val="24"/>
          <w:lang w:val="en-ZA"/>
        </w:rPr>
        <w:t>🔹</w:t>
      </w:r>
      <w:r w:rsidRPr="006A4FF7">
        <w:rPr>
          <w:rFonts w:ascii="Arial" w:hAnsi="Arial" w:cs="Arial"/>
          <w:b/>
          <w:bCs/>
          <w:sz w:val="24"/>
          <w:szCs w:val="24"/>
          <w:lang w:val="en-ZA"/>
        </w:rPr>
        <w:t xml:space="preserve"> Monthly Performance Trends</w:t>
      </w:r>
    </w:p>
    <w:p w14:paraId="7125898E" w14:textId="77777777" w:rsidR="006A4FF7" w:rsidRPr="006A4FF7" w:rsidRDefault="006A4FF7" w:rsidP="006A4FF7">
      <w:p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Using a window function to identify top-performing campaign–channel combinations per month:</w:t>
      </w:r>
    </w:p>
    <w:p w14:paraId="481B07D8" w14:textId="77777777" w:rsidR="006A4FF7" w:rsidRPr="006A4FF7" w:rsidRDefault="006A4FF7" w:rsidP="006A4FF7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Email campaigns led ROI performance in April, driven primarily by the Website channel.</w:t>
      </w:r>
    </w:p>
    <w:p w14:paraId="5008BBAA" w14:textId="77777777" w:rsidR="006A4FF7" w:rsidRPr="006A4FF7" w:rsidRDefault="006A4FF7" w:rsidP="006A4FF7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Influencer campaigns consistently ranked among top monthly performers.</w:t>
      </w:r>
    </w:p>
    <w:p w14:paraId="7A144C8F" w14:textId="77777777" w:rsidR="006A4FF7" w:rsidRPr="006A4FF7" w:rsidRDefault="006A4FF7" w:rsidP="006A4FF7">
      <w:p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b/>
          <w:bCs/>
          <w:sz w:val="24"/>
          <w:szCs w:val="24"/>
          <w:lang w:val="en-ZA"/>
        </w:rPr>
        <w:t>Implication:</w:t>
      </w:r>
      <w:r w:rsidRPr="006A4FF7">
        <w:rPr>
          <w:rFonts w:ascii="Arial" w:hAnsi="Arial" w:cs="Arial"/>
          <w:sz w:val="24"/>
          <w:szCs w:val="24"/>
          <w:lang w:val="en-ZA"/>
        </w:rPr>
        <w:t xml:space="preserve"> Influencer campaigns show sustained ROI strength across time periods.</w:t>
      </w:r>
    </w:p>
    <w:p w14:paraId="77CA080D" w14:textId="77777777" w:rsidR="006A4FF7" w:rsidRPr="006A4FF7" w:rsidRDefault="00000000" w:rsidP="006A4FF7">
      <w:pPr>
        <w:rPr>
          <w:rFonts w:ascii="Arial" w:hAnsi="Arial" w:cs="Arial"/>
          <w:sz w:val="24"/>
          <w:szCs w:val="24"/>
          <w:lang w:val="en-ZA"/>
        </w:rPr>
      </w:pPr>
      <w:r>
        <w:rPr>
          <w:rFonts w:ascii="Arial" w:hAnsi="Arial" w:cs="Arial"/>
          <w:sz w:val="24"/>
          <w:szCs w:val="24"/>
          <w:lang w:val="en-ZA"/>
        </w:rPr>
        <w:pict w14:anchorId="34794072">
          <v:rect id="_x0000_i1034" style="width:0;height:1.5pt" o:hralign="center" o:hrstd="t" o:hr="t" fillcolor="#a0a0a0" stroked="f"/>
        </w:pict>
      </w:r>
    </w:p>
    <w:p w14:paraId="1CA3CF8A" w14:textId="77777777" w:rsidR="006A4FF7" w:rsidRPr="006A4FF7" w:rsidRDefault="006A4FF7" w:rsidP="006A4FF7">
      <w:pPr>
        <w:rPr>
          <w:rFonts w:ascii="Arial" w:hAnsi="Arial" w:cs="Arial"/>
          <w:b/>
          <w:bCs/>
          <w:sz w:val="24"/>
          <w:szCs w:val="24"/>
          <w:lang w:val="en-ZA"/>
        </w:rPr>
      </w:pPr>
      <w:r w:rsidRPr="006A4FF7">
        <w:rPr>
          <w:rFonts w:ascii="Arial" w:hAnsi="Arial" w:cs="Arial"/>
          <w:b/>
          <w:bCs/>
          <w:sz w:val="24"/>
          <w:szCs w:val="24"/>
          <w:lang w:val="en-ZA"/>
        </w:rPr>
        <w:t>5. Strategic Recommendations</w:t>
      </w:r>
    </w:p>
    <w:p w14:paraId="535D9B80" w14:textId="77777777" w:rsidR="006A4FF7" w:rsidRPr="006A4FF7" w:rsidRDefault="006A4FF7" w:rsidP="006A4FF7">
      <w:p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Based on the analysis:</w:t>
      </w:r>
    </w:p>
    <w:p w14:paraId="49236A72" w14:textId="77777777" w:rsidR="006A4FF7" w:rsidRPr="006A4FF7" w:rsidRDefault="006A4FF7" w:rsidP="006A4FF7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Increase budget allocation toward YouTube and other above-average ROI channels.</w:t>
      </w:r>
    </w:p>
    <w:p w14:paraId="6EB7754C" w14:textId="77777777" w:rsidR="006A4FF7" w:rsidRPr="006A4FF7" w:rsidRDefault="006A4FF7" w:rsidP="006A4FF7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Optimize or reassess Google Ads cost structure due to high acquisition cost and CPC.</w:t>
      </w:r>
    </w:p>
    <w:p w14:paraId="0F1BD54E" w14:textId="77777777" w:rsidR="006A4FF7" w:rsidRPr="006A4FF7" w:rsidRDefault="006A4FF7" w:rsidP="006A4FF7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Reevaluate strategy in Chicago and New York to improve return on high-visibility campaigns.</w:t>
      </w:r>
    </w:p>
    <w:p w14:paraId="39D2CC01" w14:textId="77777777" w:rsidR="006A4FF7" w:rsidRPr="006A4FF7" w:rsidRDefault="006A4FF7" w:rsidP="006A4FF7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Consider scaling Search campaigns due to strong engagement efficiency.</w:t>
      </w:r>
    </w:p>
    <w:p w14:paraId="66E924D1" w14:textId="77777777" w:rsidR="006A4FF7" w:rsidRPr="006A4FF7" w:rsidRDefault="006A4FF7" w:rsidP="006A4FF7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n-ZA"/>
        </w:rPr>
      </w:pPr>
      <w:r w:rsidRPr="006A4FF7">
        <w:rPr>
          <w:rFonts w:ascii="Arial" w:hAnsi="Arial" w:cs="Arial"/>
          <w:sz w:val="24"/>
          <w:szCs w:val="24"/>
          <w:lang w:val="en-ZA"/>
        </w:rPr>
        <w:t>Monitor influencer campaigns as a consistently strong ROI contributor.</w:t>
      </w:r>
    </w:p>
    <w:p w14:paraId="453E842D" w14:textId="77777777" w:rsidR="00555B97" w:rsidRDefault="00555B97">
      <w:pPr>
        <w:rPr>
          <w:rFonts w:ascii="Arial" w:hAnsi="Arial" w:cs="Arial"/>
          <w:sz w:val="24"/>
          <w:szCs w:val="24"/>
        </w:rPr>
      </w:pPr>
    </w:p>
    <w:p w14:paraId="1799D77A" w14:textId="77777777" w:rsidR="00A34F07" w:rsidRDefault="00A34F07">
      <w:pPr>
        <w:rPr>
          <w:rFonts w:ascii="Arial" w:hAnsi="Arial" w:cs="Arial"/>
          <w:sz w:val="24"/>
          <w:szCs w:val="24"/>
        </w:rPr>
      </w:pPr>
    </w:p>
    <w:p w14:paraId="11FFCF9F" w14:textId="77777777" w:rsidR="00A34F07" w:rsidRDefault="00A34F07">
      <w:pPr>
        <w:rPr>
          <w:rFonts w:ascii="Arial" w:hAnsi="Arial" w:cs="Arial"/>
          <w:sz w:val="24"/>
          <w:szCs w:val="24"/>
        </w:rPr>
      </w:pPr>
    </w:p>
    <w:p w14:paraId="54D787E3" w14:textId="77777777" w:rsidR="00A34F07" w:rsidRDefault="00A34F07">
      <w:pPr>
        <w:rPr>
          <w:rFonts w:ascii="Arial" w:hAnsi="Arial" w:cs="Arial"/>
          <w:sz w:val="24"/>
          <w:szCs w:val="24"/>
        </w:rPr>
      </w:pPr>
    </w:p>
    <w:p w14:paraId="6794E8DF" w14:textId="77777777" w:rsidR="00A34F07" w:rsidRDefault="00A34F07">
      <w:pPr>
        <w:rPr>
          <w:rFonts w:ascii="Arial" w:hAnsi="Arial" w:cs="Arial"/>
          <w:sz w:val="24"/>
          <w:szCs w:val="24"/>
        </w:rPr>
      </w:pPr>
    </w:p>
    <w:p w14:paraId="39CC993D" w14:textId="77777777" w:rsidR="00A34F07" w:rsidRDefault="00A34F07">
      <w:pPr>
        <w:rPr>
          <w:rFonts w:ascii="Arial" w:hAnsi="Arial" w:cs="Arial"/>
          <w:sz w:val="24"/>
          <w:szCs w:val="24"/>
        </w:rPr>
      </w:pPr>
    </w:p>
    <w:p w14:paraId="4C206F9E" w14:textId="77777777" w:rsidR="00A34F07" w:rsidRDefault="00A34F07">
      <w:pPr>
        <w:rPr>
          <w:rFonts w:ascii="Arial" w:hAnsi="Arial" w:cs="Arial"/>
          <w:sz w:val="24"/>
          <w:szCs w:val="24"/>
        </w:rPr>
      </w:pPr>
    </w:p>
    <w:p w14:paraId="6E8108CB" w14:textId="77777777" w:rsidR="00A34F07" w:rsidRDefault="00A34F07">
      <w:pPr>
        <w:rPr>
          <w:rFonts w:ascii="Arial" w:hAnsi="Arial" w:cs="Arial"/>
          <w:sz w:val="24"/>
          <w:szCs w:val="24"/>
        </w:rPr>
      </w:pPr>
    </w:p>
    <w:p w14:paraId="65815787" w14:textId="77777777" w:rsidR="00A34F07" w:rsidRDefault="00A34F07">
      <w:pPr>
        <w:rPr>
          <w:rFonts w:ascii="Arial" w:hAnsi="Arial" w:cs="Arial"/>
          <w:sz w:val="24"/>
          <w:szCs w:val="24"/>
        </w:rPr>
      </w:pPr>
    </w:p>
    <w:p w14:paraId="7C73EEE9" w14:textId="77777777" w:rsidR="00A34F07" w:rsidRDefault="00A34F07">
      <w:pPr>
        <w:rPr>
          <w:rFonts w:ascii="Arial" w:hAnsi="Arial" w:cs="Arial"/>
          <w:sz w:val="24"/>
          <w:szCs w:val="24"/>
        </w:rPr>
      </w:pPr>
    </w:p>
    <w:p w14:paraId="778BDC78" w14:textId="77777777" w:rsidR="00A34F07" w:rsidRDefault="00A34F07">
      <w:pPr>
        <w:rPr>
          <w:rFonts w:ascii="Arial" w:hAnsi="Arial" w:cs="Arial"/>
          <w:sz w:val="24"/>
          <w:szCs w:val="24"/>
        </w:rPr>
      </w:pPr>
    </w:p>
    <w:p w14:paraId="7FED15EA" w14:textId="06A15D7B" w:rsidR="00A34F07" w:rsidRPr="00A34F07" w:rsidRDefault="00A34F07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A34F07">
        <w:rPr>
          <w:rFonts w:ascii="Arial" w:hAnsi="Arial" w:cs="Arial"/>
          <w:b/>
          <w:bCs/>
          <w:sz w:val="24"/>
          <w:szCs w:val="24"/>
          <w:u w:val="single"/>
        </w:rPr>
        <w:lastRenderedPageBreak/>
        <w:t>POWERBI-DASHBOARD</w:t>
      </w:r>
    </w:p>
    <w:p w14:paraId="376E0187" w14:textId="734194A9" w:rsidR="00A34F07" w:rsidRPr="00A34F07" w:rsidRDefault="00A34F07" w:rsidP="00A34F07">
      <w:pPr>
        <w:rPr>
          <w:rFonts w:ascii="Arial" w:hAnsi="Arial" w:cs="Arial"/>
          <w:sz w:val="24"/>
          <w:szCs w:val="24"/>
          <w:lang w:val="en-ZA"/>
        </w:rPr>
      </w:pPr>
      <w:r w:rsidRPr="00A34F07">
        <w:rPr>
          <w:rFonts w:ascii="Arial" w:hAnsi="Arial" w:cs="Arial"/>
          <w:noProof/>
          <w:sz w:val="24"/>
          <w:szCs w:val="24"/>
          <w:lang w:val="en-ZA"/>
        </w:rPr>
        <w:drawing>
          <wp:inline distT="0" distB="0" distL="0" distR="0" wp14:anchorId="7596DB75" wp14:editId="0C39D47D">
            <wp:extent cx="5731510" cy="3228340"/>
            <wp:effectExtent l="0" t="0" r="2540" b="0"/>
            <wp:docPr id="1190723402" name="Picture 2" descr="A graph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23402" name="Picture 2" descr="A graph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93353" w14:textId="77777777" w:rsidR="0088521A" w:rsidRDefault="0088521A" w:rsidP="005E23B1">
      <w:pPr>
        <w:rPr>
          <w:rFonts w:ascii="Arial" w:hAnsi="Arial" w:cs="Arial"/>
          <w:b/>
          <w:bCs/>
          <w:sz w:val="24"/>
          <w:szCs w:val="24"/>
          <w:lang w:val="en-ZA"/>
        </w:rPr>
      </w:pPr>
    </w:p>
    <w:p w14:paraId="11608EB4" w14:textId="6F9D1345" w:rsidR="005E23B1" w:rsidRPr="005E23B1" w:rsidRDefault="005E23B1" w:rsidP="005E23B1">
      <w:pPr>
        <w:rPr>
          <w:rFonts w:ascii="Arial" w:hAnsi="Arial" w:cs="Arial"/>
          <w:sz w:val="24"/>
          <w:szCs w:val="24"/>
          <w:lang w:val="en-ZA"/>
        </w:rPr>
      </w:pPr>
      <w:r w:rsidRPr="005E23B1">
        <w:rPr>
          <w:rFonts w:ascii="Arial" w:hAnsi="Arial" w:cs="Arial"/>
          <w:b/>
          <w:bCs/>
          <w:sz w:val="24"/>
          <w:szCs w:val="24"/>
          <w:lang w:val="en-ZA"/>
        </w:rPr>
        <w:t>Insight Summary</w:t>
      </w:r>
    </w:p>
    <w:p w14:paraId="404F5440" w14:textId="77777777" w:rsidR="005E23B1" w:rsidRPr="005E23B1" w:rsidRDefault="005E23B1" w:rsidP="005E23B1">
      <w:pPr>
        <w:rPr>
          <w:rFonts w:ascii="Arial" w:hAnsi="Arial" w:cs="Arial"/>
          <w:sz w:val="24"/>
          <w:szCs w:val="24"/>
          <w:lang w:val="en-ZA"/>
        </w:rPr>
      </w:pPr>
      <w:r w:rsidRPr="005E23B1">
        <w:rPr>
          <w:rFonts w:ascii="Arial" w:hAnsi="Arial" w:cs="Arial"/>
          <w:b/>
          <w:bCs/>
          <w:sz w:val="24"/>
          <w:szCs w:val="24"/>
          <w:lang w:val="en-ZA"/>
        </w:rPr>
        <w:t>1. Channel Conversion Trends</w:t>
      </w:r>
    </w:p>
    <w:p w14:paraId="3E5FF251" w14:textId="77777777" w:rsidR="005E23B1" w:rsidRPr="005E23B1" w:rsidRDefault="005E23B1" w:rsidP="005E23B1">
      <w:pPr>
        <w:rPr>
          <w:rFonts w:ascii="Arial" w:hAnsi="Arial" w:cs="Arial"/>
          <w:sz w:val="24"/>
          <w:szCs w:val="24"/>
          <w:lang w:val="en-ZA"/>
        </w:rPr>
      </w:pPr>
      <w:r w:rsidRPr="005E23B1">
        <w:rPr>
          <w:rFonts w:ascii="Arial" w:hAnsi="Arial" w:cs="Arial"/>
          <w:sz w:val="24"/>
          <w:szCs w:val="24"/>
          <w:lang w:val="en-ZA"/>
        </w:rPr>
        <w:t xml:space="preserve">Across all four quarters, </w:t>
      </w:r>
      <w:r w:rsidRPr="005E23B1">
        <w:rPr>
          <w:rFonts w:ascii="Arial" w:hAnsi="Arial" w:cs="Arial"/>
          <w:b/>
          <w:bCs/>
          <w:sz w:val="24"/>
          <w:szCs w:val="24"/>
          <w:lang w:val="en-ZA"/>
        </w:rPr>
        <w:t>Google Ads and Website consistently maintain higher conversion rates</w:t>
      </w:r>
      <w:r w:rsidRPr="005E23B1">
        <w:rPr>
          <w:rFonts w:ascii="Arial" w:hAnsi="Arial" w:cs="Arial"/>
          <w:sz w:val="24"/>
          <w:szCs w:val="24"/>
          <w:lang w:val="en-ZA"/>
        </w:rPr>
        <w:t xml:space="preserve"> compared to social channels.</w:t>
      </w:r>
      <w:r w:rsidRPr="005E23B1">
        <w:rPr>
          <w:rFonts w:ascii="Arial" w:hAnsi="Arial" w:cs="Arial"/>
          <w:sz w:val="24"/>
          <w:szCs w:val="24"/>
          <w:lang w:val="en-ZA"/>
        </w:rPr>
        <w:br/>
        <w:t>Facebook shows a noticeable dip in Q3, which may indicate seasonal audience disengagement or less effective campaign content during that period.</w:t>
      </w:r>
      <w:r w:rsidRPr="005E23B1">
        <w:rPr>
          <w:rFonts w:ascii="Arial" w:hAnsi="Arial" w:cs="Arial"/>
          <w:sz w:val="24"/>
          <w:szCs w:val="24"/>
          <w:lang w:val="en-ZA"/>
        </w:rPr>
        <w:br/>
        <w:t>Overall, the trend suggests that paid search and website traffic attract users with stronger purchase intent.</w:t>
      </w:r>
    </w:p>
    <w:p w14:paraId="01DFE9D1" w14:textId="77777777" w:rsidR="005E23B1" w:rsidRPr="005E23B1" w:rsidRDefault="005E23B1" w:rsidP="005E23B1">
      <w:pPr>
        <w:rPr>
          <w:rFonts w:ascii="Arial" w:hAnsi="Arial" w:cs="Arial"/>
          <w:sz w:val="24"/>
          <w:szCs w:val="24"/>
          <w:lang w:val="en-ZA"/>
        </w:rPr>
      </w:pPr>
      <w:r w:rsidRPr="005E23B1">
        <w:rPr>
          <w:rFonts w:ascii="Arial" w:hAnsi="Arial" w:cs="Arial"/>
          <w:b/>
          <w:bCs/>
          <w:sz w:val="24"/>
          <w:szCs w:val="24"/>
          <w:lang w:val="en-ZA"/>
        </w:rPr>
        <w:t>2. Engagement Performance by Channel</w:t>
      </w:r>
    </w:p>
    <w:p w14:paraId="0619A8FB" w14:textId="77777777" w:rsidR="005E23B1" w:rsidRPr="005E23B1" w:rsidRDefault="005E23B1" w:rsidP="005E23B1">
      <w:pPr>
        <w:rPr>
          <w:rFonts w:ascii="Arial" w:hAnsi="Arial" w:cs="Arial"/>
          <w:sz w:val="24"/>
          <w:szCs w:val="24"/>
          <w:lang w:val="en-ZA"/>
        </w:rPr>
      </w:pPr>
      <w:r w:rsidRPr="005E23B1">
        <w:rPr>
          <w:rFonts w:ascii="Arial" w:hAnsi="Arial" w:cs="Arial"/>
          <w:sz w:val="24"/>
          <w:szCs w:val="24"/>
          <w:lang w:val="en-ZA"/>
        </w:rPr>
        <w:t xml:space="preserve">Engagement scores reveal that </w:t>
      </w:r>
      <w:r w:rsidRPr="005E23B1">
        <w:rPr>
          <w:rFonts w:ascii="Arial" w:hAnsi="Arial" w:cs="Arial"/>
          <w:b/>
          <w:bCs/>
          <w:sz w:val="24"/>
          <w:szCs w:val="24"/>
          <w:lang w:val="en-ZA"/>
        </w:rPr>
        <w:t>Website and Facebook generate the highest levels of user interaction</w:t>
      </w:r>
      <w:r w:rsidRPr="005E23B1">
        <w:rPr>
          <w:rFonts w:ascii="Arial" w:hAnsi="Arial" w:cs="Arial"/>
          <w:sz w:val="24"/>
          <w:szCs w:val="24"/>
          <w:lang w:val="en-ZA"/>
        </w:rPr>
        <w:t>, while YouTube and Email show lower engagement.</w:t>
      </w:r>
      <w:r w:rsidRPr="005E23B1">
        <w:rPr>
          <w:rFonts w:ascii="Arial" w:hAnsi="Arial" w:cs="Arial"/>
          <w:sz w:val="24"/>
          <w:szCs w:val="24"/>
          <w:lang w:val="en-ZA"/>
        </w:rPr>
        <w:br/>
        <w:t>This suggests that Website visitors are more actively exploring content, and Facebook campaigns may be effective at capturing attention even when conversion rates fluctuate.</w:t>
      </w:r>
    </w:p>
    <w:p w14:paraId="2174658D" w14:textId="77777777" w:rsidR="005E23B1" w:rsidRPr="005E23B1" w:rsidRDefault="005E23B1" w:rsidP="005E23B1">
      <w:pPr>
        <w:rPr>
          <w:rFonts w:ascii="Arial" w:hAnsi="Arial" w:cs="Arial"/>
          <w:sz w:val="24"/>
          <w:szCs w:val="24"/>
          <w:lang w:val="en-ZA"/>
        </w:rPr>
      </w:pPr>
      <w:r w:rsidRPr="005E23B1">
        <w:rPr>
          <w:rFonts w:ascii="Arial" w:hAnsi="Arial" w:cs="Arial"/>
          <w:b/>
          <w:bCs/>
          <w:sz w:val="24"/>
          <w:szCs w:val="24"/>
          <w:lang w:val="en-ZA"/>
        </w:rPr>
        <w:t>3. ROI Distribution Across Channels</w:t>
      </w:r>
    </w:p>
    <w:p w14:paraId="09689DD2" w14:textId="77777777" w:rsidR="005E23B1" w:rsidRPr="005E23B1" w:rsidRDefault="005E23B1" w:rsidP="005E23B1">
      <w:pPr>
        <w:rPr>
          <w:rFonts w:ascii="Arial" w:hAnsi="Arial" w:cs="Arial"/>
          <w:sz w:val="24"/>
          <w:szCs w:val="24"/>
          <w:lang w:val="en-ZA"/>
        </w:rPr>
      </w:pPr>
      <w:r w:rsidRPr="005E23B1">
        <w:rPr>
          <w:rFonts w:ascii="Arial" w:hAnsi="Arial" w:cs="Arial"/>
          <w:sz w:val="24"/>
          <w:szCs w:val="24"/>
          <w:lang w:val="en-ZA"/>
        </w:rPr>
        <w:t xml:space="preserve">ROI is strongest for </w:t>
      </w:r>
      <w:r w:rsidRPr="005E23B1">
        <w:rPr>
          <w:rFonts w:ascii="Arial" w:hAnsi="Arial" w:cs="Arial"/>
          <w:b/>
          <w:bCs/>
          <w:sz w:val="24"/>
          <w:szCs w:val="24"/>
          <w:lang w:val="en-ZA"/>
        </w:rPr>
        <w:t>Google Ads and Website</w:t>
      </w:r>
      <w:r w:rsidRPr="005E23B1">
        <w:rPr>
          <w:rFonts w:ascii="Arial" w:hAnsi="Arial" w:cs="Arial"/>
          <w:sz w:val="24"/>
          <w:szCs w:val="24"/>
          <w:lang w:val="en-ZA"/>
        </w:rPr>
        <w:t>, indicating that these channels deliver the best financial return relative to spend.</w:t>
      </w:r>
      <w:r w:rsidRPr="005E23B1">
        <w:rPr>
          <w:rFonts w:ascii="Arial" w:hAnsi="Arial" w:cs="Arial"/>
          <w:sz w:val="24"/>
          <w:szCs w:val="24"/>
          <w:lang w:val="en-ZA"/>
        </w:rPr>
        <w:br/>
        <w:t>Facebook and Instagram show lower ROI, suggesting that while they may drive awareness or engagement, they are less efficient at converting that engagement into revenue.</w:t>
      </w:r>
    </w:p>
    <w:p w14:paraId="0D7B3016" w14:textId="77777777" w:rsidR="005E23B1" w:rsidRPr="005E23B1" w:rsidRDefault="005E23B1" w:rsidP="005E23B1">
      <w:pPr>
        <w:rPr>
          <w:rFonts w:ascii="Arial" w:hAnsi="Arial" w:cs="Arial"/>
          <w:sz w:val="24"/>
          <w:szCs w:val="24"/>
          <w:lang w:val="en-ZA"/>
        </w:rPr>
      </w:pPr>
      <w:r w:rsidRPr="005E23B1">
        <w:rPr>
          <w:rFonts w:ascii="Arial" w:hAnsi="Arial" w:cs="Arial"/>
          <w:b/>
          <w:bCs/>
          <w:sz w:val="24"/>
          <w:szCs w:val="24"/>
          <w:lang w:val="en-ZA"/>
        </w:rPr>
        <w:t>4. Customer Segment &amp; Audience Insights</w:t>
      </w:r>
    </w:p>
    <w:p w14:paraId="49F06CF5" w14:textId="77777777" w:rsidR="005E23B1" w:rsidRPr="005E23B1" w:rsidRDefault="005E23B1" w:rsidP="005E23B1">
      <w:pPr>
        <w:rPr>
          <w:rFonts w:ascii="Arial" w:hAnsi="Arial" w:cs="Arial"/>
          <w:sz w:val="24"/>
          <w:szCs w:val="24"/>
          <w:lang w:val="en-ZA"/>
        </w:rPr>
      </w:pPr>
      <w:r w:rsidRPr="005E23B1">
        <w:rPr>
          <w:rFonts w:ascii="Arial" w:hAnsi="Arial" w:cs="Arial"/>
          <w:sz w:val="24"/>
          <w:szCs w:val="24"/>
          <w:lang w:val="en-ZA"/>
        </w:rPr>
        <w:lastRenderedPageBreak/>
        <w:t>Filters reveal that performance varies across customer segments and target audiences.</w:t>
      </w:r>
      <w:r w:rsidRPr="005E23B1">
        <w:rPr>
          <w:rFonts w:ascii="Arial" w:hAnsi="Arial" w:cs="Arial"/>
          <w:sz w:val="24"/>
          <w:szCs w:val="24"/>
          <w:lang w:val="en-ZA"/>
        </w:rPr>
        <w:br/>
        <w:t>For example, certain demographics (such as Women 25–34) may respond more strongly to specific channels, allowing for more targeted budget allocation.</w:t>
      </w:r>
    </w:p>
    <w:p w14:paraId="2790D49A" w14:textId="77777777" w:rsidR="005E23B1" w:rsidRPr="005E23B1" w:rsidRDefault="005E23B1" w:rsidP="005E23B1">
      <w:pPr>
        <w:rPr>
          <w:rFonts w:ascii="Arial" w:hAnsi="Arial" w:cs="Arial"/>
          <w:sz w:val="24"/>
          <w:szCs w:val="24"/>
          <w:lang w:val="en-ZA"/>
        </w:rPr>
      </w:pPr>
      <w:r w:rsidRPr="005E23B1">
        <w:rPr>
          <w:rFonts w:ascii="Arial" w:hAnsi="Arial" w:cs="Arial"/>
          <w:b/>
          <w:bCs/>
          <w:sz w:val="24"/>
          <w:szCs w:val="24"/>
          <w:lang w:val="en-ZA"/>
        </w:rPr>
        <w:t>5. Recommended Budget Strategy</w:t>
      </w:r>
    </w:p>
    <w:p w14:paraId="7A38CECA" w14:textId="77777777" w:rsidR="005E23B1" w:rsidRPr="005E23B1" w:rsidRDefault="005E23B1" w:rsidP="005E23B1">
      <w:pPr>
        <w:rPr>
          <w:rFonts w:ascii="Arial" w:hAnsi="Arial" w:cs="Arial"/>
          <w:sz w:val="24"/>
          <w:szCs w:val="24"/>
          <w:lang w:val="en-ZA"/>
        </w:rPr>
      </w:pPr>
      <w:r w:rsidRPr="005E23B1">
        <w:rPr>
          <w:rFonts w:ascii="Arial" w:hAnsi="Arial" w:cs="Arial"/>
          <w:sz w:val="24"/>
          <w:szCs w:val="24"/>
          <w:lang w:val="en-ZA"/>
        </w:rPr>
        <w:t>Based on the combined performance across conversion rate, engagement, and ROI:</w:t>
      </w:r>
    </w:p>
    <w:p w14:paraId="70621A15" w14:textId="77777777" w:rsidR="005E23B1" w:rsidRPr="005E23B1" w:rsidRDefault="005E23B1" w:rsidP="005E23B1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n-ZA"/>
        </w:rPr>
      </w:pPr>
      <w:r w:rsidRPr="005E23B1">
        <w:rPr>
          <w:rFonts w:ascii="Arial" w:hAnsi="Arial" w:cs="Arial"/>
          <w:b/>
          <w:bCs/>
          <w:sz w:val="24"/>
          <w:szCs w:val="24"/>
          <w:lang w:val="en-ZA"/>
        </w:rPr>
        <w:t>Increase budget</w:t>
      </w:r>
      <w:r w:rsidRPr="005E23B1">
        <w:rPr>
          <w:rFonts w:ascii="Arial" w:hAnsi="Arial" w:cs="Arial"/>
          <w:sz w:val="24"/>
          <w:szCs w:val="24"/>
          <w:lang w:val="en-ZA"/>
        </w:rPr>
        <w:t xml:space="preserve"> for </w:t>
      </w:r>
      <w:r w:rsidRPr="005E23B1">
        <w:rPr>
          <w:rFonts w:ascii="Arial" w:hAnsi="Arial" w:cs="Arial"/>
          <w:b/>
          <w:bCs/>
          <w:sz w:val="24"/>
          <w:szCs w:val="24"/>
          <w:lang w:val="en-ZA"/>
        </w:rPr>
        <w:t>Google Ads and Website</w:t>
      </w:r>
      <w:r w:rsidRPr="005E23B1">
        <w:rPr>
          <w:rFonts w:ascii="Arial" w:hAnsi="Arial" w:cs="Arial"/>
          <w:sz w:val="24"/>
          <w:szCs w:val="24"/>
          <w:lang w:val="en-ZA"/>
        </w:rPr>
        <w:t>, as they consistently outperform other channels across all key metrics.</w:t>
      </w:r>
    </w:p>
    <w:p w14:paraId="7E8F9DD2" w14:textId="77777777" w:rsidR="005E23B1" w:rsidRPr="005E23B1" w:rsidRDefault="005E23B1" w:rsidP="005E23B1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n-ZA"/>
        </w:rPr>
      </w:pPr>
      <w:r w:rsidRPr="005E23B1">
        <w:rPr>
          <w:rFonts w:ascii="Arial" w:hAnsi="Arial" w:cs="Arial"/>
          <w:b/>
          <w:bCs/>
          <w:sz w:val="24"/>
          <w:szCs w:val="24"/>
          <w:lang w:val="en-ZA"/>
        </w:rPr>
        <w:t>Optimize or reduce spend</w:t>
      </w:r>
      <w:r w:rsidRPr="005E23B1">
        <w:rPr>
          <w:rFonts w:ascii="Arial" w:hAnsi="Arial" w:cs="Arial"/>
          <w:sz w:val="24"/>
          <w:szCs w:val="24"/>
          <w:lang w:val="en-ZA"/>
        </w:rPr>
        <w:t xml:space="preserve"> on </w:t>
      </w:r>
      <w:r w:rsidRPr="005E23B1">
        <w:rPr>
          <w:rFonts w:ascii="Arial" w:hAnsi="Arial" w:cs="Arial"/>
          <w:b/>
          <w:bCs/>
          <w:sz w:val="24"/>
          <w:szCs w:val="24"/>
          <w:lang w:val="en-ZA"/>
        </w:rPr>
        <w:t>Facebook and Instagram</w:t>
      </w:r>
      <w:r w:rsidRPr="005E23B1">
        <w:rPr>
          <w:rFonts w:ascii="Arial" w:hAnsi="Arial" w:cs="Arial"/>
          <w:sz w:val="24"/>
          <w:szCs w:val="24"/>
          <w:lang w:val="en-ZA"/>
        </w:rPr>
        <w:t>, focusing on improving content relevance or retargeting strategies.</w:t>
      </w:r>
    </w:p>
    <w:p w14:paraId="66A68DC7" w14:textId="77777777" w:rsidR="005E23B1" w:rsidRPr="005E23B1" w:rsidRDefault="005E23B1" w:rsidP="005E23B1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n-ZA"/>
        </w:rPr>
      </w:pPr>
      <w:r w:rsidRPr="005E23B1">
        <w:rPr>
          <w:rFonts w:ascii="Arial" w:hAnsi="Arial" w:cs="Arial"/>
          <w:b/>
          <w:bCs/>
          <w:sz w:val="24"/>
          <w:szCs w:val="24"/>
          <w:lang w:val="en-ZA"/>
        </w:rPr>
        <w:t>Maintain Email and YouTube</w:t>
      </w:r>
      <w:r w:rsidRPr="005E23B1">
        <w:rPr>
          <w:rFonts w:ascii="Arial" w:hAnsi="Arial" w:cs="Arial"/>
          <w:sz w:val="24"/>
          <w:szCs w:val="24"/>
          <w:lang w:val="en-ZA"/>
        </w:rPr>
        <w:t xml:space="preserve"> as supporting channels for awareness and nurturing.</w:t>
      </w:r>
    </w:p>
    <w:p w14:paraId="0849ABA3" w14:textId="77777777" w:rsidR="00A34F07" w:rsidRPr="006A4FF7" w:rsidRDefault="00A34F07">
      <w:pPr>
        <w:rPr>
          <w:rFonts w:ascii="Arial" w:hAnsi="Arial" w:cs="Arial"/>
          <w:sz w:val="24"/>
          <w:szCs w:val="24"/>
        </w:rPr>
      </w:pPr>
    </w:p>
    <w:sectPr w:rsidR="00A34F07" w:rsidRPr="006A4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32A2"/>
    <w:multiLevelType w:val="multilevel"/>
    <w:tmpl w:val="6CE8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F7B58"/>
    <w:multiLevelType w:val="multilevel"/>
    <w:tmpl w:val="503C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140A1"/>
    <w:multiLevelType w:val="multilevel"/>
    <w:tmpl w:val="40B0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4666A"/>
    <w:multiLevelType w:val="multilevel"/>
    <w:tmpl w:val="6130E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EC5404"/>
    <w:multiLevelType w:val="multilevel"/>
    <w:tmpl w:val="CB14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14EED"/>
    <w:multiLevelType w:val="multilevel"/>
    <w:tmpl w:val="2640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442ED"/>
    <w:multiLevelType w:val="multilevel"/>
    <w:tmpl w:val="6A5A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16E72"/>
    <w:multiLevelType w:val="multilevel"/>
    <w:tmpl w:val="97C6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415360">
    <w:abstractNumId w:val="6"/>
  </w:num>
  <w:num w:numId="2" w16cid:durableId="1979335332">
    <w:abstractNumId w:val="1"/>
  </w:num>
  <w:num w:numId="3" w16cid:durableId="1432430430">
    <w:abstractNumId w:val="2"/>
  </w:num>
  <w:num w:numId="4" w16cid:durableId="1529294173">
    <w:abstractNumId w:val="7"/>
  </w:num>
  <w:num w:numId="5" w16cid:durableId="622034799">
    <w:abstractNumId w:val="5"/>
  </w:num>
  <w:num w:numId="6" w16cid:durableId="2016036773">
    <w:abstractNumId w:val="0"/>
  </w:num>
  <w:num w:numId="7" w16cid:durableId="1736515440">
    <w:abstractNumId w:val="3"/>
  </w:num>
  <w:num w:numId="8" w16cid:durableId="11226521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E9"/>
    <w:rsid w:val="000E06E2"/>
    <w:rsid w:val="002D1793"/>
    <w:rsid w:val="00450A27"/>
    <w:rsid w:val="00522C8A"/>
    <w:rsid w:val="00555B97"/>
    <w:rsid w:val="00574130"/>
    <w:rsid w:val="005E23B1"/>
    <w:rsid w:val="006158E9"/>
    <w:rsid w:val="006A4FF7"/>
    <w:rsid w:val="006D41AE"/>
    <w:rsid w:val="00776FA0"/>
    <w:rsid w:val="007930E7"/>
    <w:rsid w:val="007A7CF7"/>
    <w:rsid w:val="0087451C"/>
    <w:rsid w:val="0088521A"/>
    <w:rsid w:val="00971F9C"/>
    <w:rsid w:val="00A0124E"/>
    <w:rsid w:val="00A34F07"/>
    <w:rsid w:val="00CC4CB1"/>
    <w:rsid w:val="00DC29BB"/>
    <w:rsid w:val="00DE4F77"/>
    <w:rsid w:val="00E9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2CB7A8"/>
  <w15:chartTrackingRefBased/>
  <w15:docId w15:val="{6C7A9E66-8224-4024-A50E-77A755A0E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5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8E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8E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8E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8E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8E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8E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8E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8E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8E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15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8E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8E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15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8E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15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8E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15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746</Words>
  <Characters>4790</Characters>
  <Application>Microsoft Office Word</Application>
  <DocSecurity>0</DocSecurity>
  <Lines>133</Lines>
  <Paragraphs>71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Tyralle Naidu</dc:creator>
  <cp:keywords/>
  <dc:description/>
  <cp:lastModifiedBy>Tyralle Naidu</cp:lastModifiedBy>
  <cp:revision>8</cp:revision>
  <dcterms:created xsi:type="dcterms:W3CDTF">2026-02-12T07:53:00Z</dcterms:created>
  <dcterms:modified xsi:type="dcterms:W3CDTF">2026-02-17T13:31:00Z</dcterms:modified>
</cp:coreProperties>
</file>