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Aza’ra MMORPG | Guidebook</w:t>
      </w:r>
    </w:p>
    <w:p>
      <w:r>
        <w:rPr>
          <w:i/>
        </w:rPr>
        <w:t>24 navigable sections  •  Original-source reconstruction  •  Canon priority: current instructions</w:t>
      </w:r>
    </w:p>
    <w:p>
      <w:bookmarkStart w:id="645937" w:name="contents"/>
      <w:pPr>
        <w:pStyle w:val="Heading1"/>
      </w:pPr>
      <w:r>
        <w:t>Contents</w:t>
      </w:r>
      <w:bookmarkEnd w:id="645937"/>
    </w:p>
    <w:p>
      <w:pPr>
        <w:spacing w:after="20" w:line="240" w:lineRule="auto"/>
      </w:pPr>
      <w:hyperlink w:anchor="tab_1">
        <w:r>
          <w:rPr>
            <w:color w:val="17629B"/>
          </w:rPr>
          <w:t>01  Orientation and Current World State</w:t>
        </w:r>
      </w:hyperlink>
    </w:p>
    <w:p>
      <w:pPr>
        <w:spacing w:after="20" w:line="240" w:lineRule="auto"/>
      </w:pPr>
      <w:hyperlink w:anchor="tab_2">
        <w:r>
          <w:rPr>
            <w:color w:val="17629B"/>
          </w:rPr>
          <w:t>02  One Canon Across Book and TTRPG</w:t>
        </w:r>
      </w:hyperlink>
    </w:p>
    <w:p>
      <w:pPr>
        <w:spacing w:after="20" w:line="240" w:lineRule="auto"/>
      </w:pPr>
      <w:hyperlink w:anchor="tab_3">
        <w:r>
          <w:rPr>
            <w:color w:val="17629B"/>
          </w:rPr>
          <w:t>03  Steampunk: The Brassbound Age</w:t>
        </w:r>
      </w:hyperlink>
    </w:p>
    <w:p>
      <w:pPr>
        <w:spacing w:after="20" w:line="240" w:lineRule="auto"/>
      </w:pPr>
      <w:hyperlink w:anchor="tab_4">
        <w:r>
          <w:rPr>
            <w:color w:val="17629B"/>
          </w:rPr>
          <w:t>04  Moonpunk: Triune-Lunar Civilization</w:t>
        </w:r>
      </w:hyperlink>
    </w:p>
    <w:p>
      <w:pPr>
        <w:spacing w:after="20" w:line="240" w:lineRule="auto"/>
      </w:pPr>
      <w:hyperlink w:anchor="tab_5">
        <w:r>
          <w:rPr>
            <w:color w:val="17629B"/>
          </w:rPr>
          <w:t>05  Post-Apocalyptic Recovery</w:t>
        </w:r>
      </w:hyperlink>
    </w:p>
    <w:p>
      <w:pPr>
        <w:spacing w:after="20" w:line="240" w:lineRule="auto"/>
      </w:pPr>
      <w:hyperlink w:anchor="tab_6">
        <w:r>
          <w:rPr>
            <w:color w:val="17629B"/>
          </w:rPr>
          <w:t>06  Continents, Zones and Access</w:t>
        </w:r>
      </w:hyperlink>
    </w:p>
    <w:p>
      <w:pPr>
        <w:spacing w:after="20" w:line="240" w:lineRule="auto"/>
      </w:pPr>
      <w:hyperlink w:anchor="tab_7">
        <w:r>
          <w:rPr>
            <w:color w:val="17629B"/>
          </w:rPr>
          <w:t>07  Species and Mixed Ancestry</w:t>
        </w:r>
      </w:hyperlink>
    </w:p>
    <w:p>
      <w:pPr>
        <w:spacing w:after="20" w:line="240" w:lineRule="auto"/>
      </w:pPr>
      <w:hyperlink w:anchor="tab_8">
        <w:r>
          <w:rPr>
            <w:color w:val="17629B"/>
          </w:rPr>
          <w:t>08  Names, Identity and Languages</w:t>
        </w:r>
      </w:hyperlink>
    </w:p>
    <w:p>
      <w:pPr>
        <w:spacing w:after="20" w:line="240" w:lineRule="auto"/>
      </w:pPr>
      <w:hyperlink w:anchor="tab_9">
        <w:r>
          <w:rPr>
            <w:color w:val="17629B"/>
          </w:rPr>
          <w:t>09  Character Attributes and Skill Progress</w:t>
        </w:r>
      </w:hyperlink>
    </w:p>
    <w:p>
      <w:pPr>
        <w:spacing w:after="20" w:line="240" w:lineRule="auto"/>
      </w:pPr>
      <w:hyperlink w:anchor="tab_10">
        <w:r>
          <w:rPr>
            <w:color w:val="17629B"/>
          </w:rPr>
          <w:t>10  Alignment and Reputation</w:t>
        </w:r>
      </w:hyperlink>
    </w:p>
    <w:p>
      <w:pPr>
        <w:spacing w:after="20" w:line="240" w:lineRule="auto"/>
      </w:pPr>
      <w:hyperlink w:anchor="tab_11">
        <w:r>
          <w:rPr>
            <w:color w:val="17629B"/>
          </w:rPr>
          <w:t>11  Schools of Magic and Focus</w:t>
        </w:r>
      </w:hyperlink>
    </w:p>
    <w:p>
      <w:pPr>
        <w:spacing w:after="20" w:line="240" w:lineRule="auto"/>
      </w:pPr>
      <w:hyperlink w:anchor="tab_12">
        <w:r>
          <w:rPr>
            <w:color w:val="17629B"/>
          </w:rPr>
          <w:t>12  Combat, Defense and Cooperative Play</w:t>
        </w:r>
      </w:hyperlink>
    </w:p>
    <w:p>
      <w:pPr>
        <w:spacing w:after="20" w:line="240" w:lineRule="auto"/>
      </w:pPr>
      <w:hyperlink w:anchor="tab_13">
        <w:r>
          <w:rPr>
            <w:color w:val="17629B"/>
          </w:rPr>
          <w:t>13  Crafting and Workshop Chains</w:t>
        </w:r>
      </w:hyperlink>
    </w:p>
    <w:p>
      <w:pPr>
        <w:spacing w:after="20" w:line="240" w:lineRule="auto"/>
      </w:pPr>
      <w:hyperlink w:anchor="tab_14">
        <w:r>
          <w:rPr>
            <w:color w:val="17629B"/>
          </w:rPr>
          <w:t>14  Farming, Ecology and Resource Renewal</w:t>
        </w:r>
      </w:hyperlink>
    </w:p>
    <w:p>
      <w:pPr>
        <w:spacing w:after="20" w:line="240" w:lineRule="auto"/>
      </w:pPr>
      <w:hyperlink w:anchor="tab_15">
        <w:r>
          <w:rPr>
            <w:color w:val="17629B"/>
          </w:rPr>
          <w:t>15  Architect and Interior Design</w:t>
        </w:r>
      </w:hyperlink>
    </w:p>
    <w:p>
      <w:pPr>
        <w:spacing w:after="20" w:line="240" w:lineRule="auto"/>
      </w:pPr>
      <w:hyperlink w:anchor="tab_16">
        <w:r>
          <w:rPr>
            <w:color w:val="17629B"/>
          </w:rPr>
          <w:t>16  Private Dimensions and Whole Towns</w:t>
        </w:r>
      </w:hyperlink>
    </w:p>
    <w:p>
      <w:pPr>
        <w:spacing w:after="20" w:line="240" w:lineRule="auto"/>
      </w:pPr>
      <w:hyperlink w:anchor="tab_17">
        <w:r>
          <w:rPr>
            <w:color w:val="17629B"/>
          </w:rPr>
          <w:t>17  NPC Households and Daily Routines</w:t>
        </w:r>
      </w:hyperlink>
    </w:p>
    <w:p>
      <w:pPr>
        <w:spacing w:after="20" w:line="240" w:lineRule="auto"/>
      </w:pPr>
      <w:hyperlink w:anchor="tab_18">
        <w:r>
          <w:rPr>
            <w:color w:val="17629B"/>
          </w:rPr>
          <w:t>18  Careers and Community Services</w:t>
        </w:r>
      </w:hyperlink>
    </w:p>
    <w:p>
      <w:pPr>
        <w:spacing w:after="20" w:line="240" w:lineRule="auto"/>
      </w:pPr>
      <w:hyperlink w:anchor="tab_19">
        <w:r>
          <w:rPr>
            <w:color w:val="17629B"/>
          </w:rPr>
          <w:t>19  Transportation, Skyships and Anchors</w:t>
        </w:r>
      </w:hyperlink>
    </w:p>
    <w:p>
      <w:pPr>
        <w:spacing w:after="20" w:line="240" w:lineRule="auto"/>
      </w:pPr>
      <w:hyperlink w:anchor="tab_20">
        <w:r>
          <w:rPr>
            <w:color w:val="17629B"/>
          </w:rPr>
          <w:t>20  Trading, Currencies and Ownership</w:t>
        </w:r>
      </w:hyperlink>
    </w:p>
    <w:p>
      <w:pPr>
        <w:spacing w:after="20" w:line="240" w:lineRule="auto"/>
      </w:pPr>
      <w:hyperlink w:anchor="tab_21">
        <w:r>
          <w:rPr>
            <w:color w:val="17629B"/>
          </w:rPr>
          <w:t>21  Quests, Stories and World Events</w:t>
        </w:r>
      </w:hyperlink>
    </w:p>
    <w:p>
      <w:pPr>
        <w:spacing w:after="20" w:line="240" w:lineRule="auto"/>
      </w:pPr>
      <w:hyperlink w:anchor="tab_22">
        <w:r>
          <w:rPr>
            <w:color w:val="17629B"/>
          </w:rPr>
          <w:t>22  Guilds, PvP and Social Safety</w:t>
        </w:r>
      </w:hyperlink>
    </w:p>
    <w:p>
      <w:pPr>
        <w:spacing w:after="20" w:line="240" w:lineRule="auto"/>
      </w:pPr>
      <w:hyperlink w:anchor="tab_23">
        <w:r>
          <w:rPr>
            <w:color w:val="17629B"/>
          </w:rPr>
          <w:t>23  Offline Play, Saving and Recovery</w:t>
        </w:r>
      </w:hyperlink>
    </w:p>
    <w:p>
      <w:pPr>
        <w:spacing w:after="20" w:line="240" w:lineRule="auto"/>
      </w:pPr>
      <w:hyperlink w:anchor="tab_24">
        <w:r>
          <w:rPr>
            <w:color w:val="17629B"/>
          </w:rPr>
          <w:t>24  Production Roadmap and QA</w:t>
        </w:r>
      </w:hyperlink>
    </w:p>
    <w:p>
      <w:r>
        <w:t>Navigation: open Word’s Navigation pane to move among headings, or select a section from these contents. The companion HTML file provides literal clickable tabs.</w:t>
      </w:r>
    </w:p>
    <w:p>
      <w:r>
        <w:br w:type="page"/>
      </w:r>
    </w:p>
    <w:p>
      <w:bookmarkStart w:id="706019" w:name="tab_1"/>
      <w:pPr>
        <w:pStyle w:val="Heading1"/>
      </w:pPr>
      <w:r>
        <w:t>Tab 01  |  Orientation and Current World State</w:t>
      </w:r>
      <w:bookmarkEnd w:id="706019"/>
    </w:p>
    <w:p>
      <w:r>
        <w:t>The MMORPG begins after the complete destruction of Belavadös. The accessible world is post-apocalyptic Aza’ra, where steampunk engineering and Moonpunk lunar technologies support survival, travel and community rebuilding.</w:t>
      </w:r>
    </w:p>
    <w:p>
      <w:r>
        <w:t>Launch zones are anchored to surviving continents and stable skyways. Historical Belavadös may appear through documents, memorials and museum interfaces only.</w:t>
      </w:r>
    </w:p>
    <w:p>
      <w:r>
        <w:t>The Iron Dominion caused Belavadös’s destruction. The game cannot present the continent as an ordinary explorable map.</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Authority</w:t>
            </w:r>
          </w:p>
        </w:tc>
        <w:tc>
          <w:tcPr>
            <w:tcW w:type="dxa" w:w="4939"/>
          </w:tcPr>
          <w:p>
            <w:r>
              <w:t>This request and its 2026 canon priorities</w:t>
            </w:r>
          </w:p>
        </w:tc>
      </w:tr>
      <w:tr>
        <w:tc>
          <w:tcPr>
            <w:tcW w:type="dxa" w:w="4939"/>
          </w:tcPr>
          <w:p>
            <w:r>
              <w:t>Original resources</w:t>
            </w:r>
          </w:p>
        </w:tc>
        <w:tc>
          <w:tcPr>
            <w:tcW w:type="dxa" w:w="4939"/>
          </w:tcPr>
          <w:p>
            <w:r>
              <w:t>Specified Aza’ra and Belavadös archives, strict pantheon, Writer Helper</w:t>
            </w:r>
          </w:p>
        </w:tc>
      </w:tr>
      <w:tr>
        <w:tc>
          <w:tcPr>
            <w:tcW w:type="dxa" w:w="4939"/>
          </w:tcPr>
          <w:p>
            <w:r>
              <w:t>Excluded</w:t>
            </w:r>
          </w:p>
        </w:tc>
        <w:tc>
          <w:tcPr>
            <w:tcW w:type="dxa" w:w="4939"/>
          </w:tcPr>
          <w:p>
            <w:r>
              <w:t>Every previous integrated build</w:t>
            </w:r>
          </w:p>
        </w:tc>
      </w:tr>
      <w:tr>
        <w:tc>
          <w:tcPr>
            <w:tcW w:type="dxa" w:w="4939"/>
          </w:tcPr>
          <w:p>
            <w:r>
              <w:t>Draft status</w:t>
            </w:r>
          </w:p>
        </w:tc>
        <w:tc>
          <w:tcPr>
            <w:tcW w:type="dxa" w:w="4939"/>
          </w:tcPr>
          <w:p>
            <w:r>
              <w:t>New rules and unapproved glyph forms are marked as proposals</w:t>
            </w:r>
          </w:p>
        </w:tc>
      </w:tr>
    </w:tbl>
    <w:p>
      <w:r>
        <w:t xml:space="preserve">Return to contents: </w:t>
      </w:r>
      <w:hyperlink w:anchor="contents">
        <w:r>
          <w:rPr>
            <w:color w:val="17629B"/>
          </w:rPr>
          <w:t>Contents</w:t>
        </w:r>
      </w:hyperlink>
    </w:p>
    <w:p>
      <w:r>
        <w:br w:type="page"/>
      </w:r>
    </w:p>
    <w:p>
      <w:bookmarkStart w:id="214626" w:name="tab_2"/>
      <w:pPr>
        <w:pStyle w:val="Heading1"/>
      </w:pPr>
      <w:r>
        <w:t>Tab 02  |  One Canon Across Book and TTRPG</w:t>
      </w:r>
      <w:bookmarkEnd w:id="214626"/>
    </w:p>
    <w:p>
      <w:r>
        <w:t>The MMORPG implements the tabletop core of attributes, skills, action resolution, focus, alignment and professions, adapting inputs to real-time interaction without rewriting their meaning.</w:t>
      </w:r>
    </w:p>
    <w:p>
      <w:r>
        <w:t>A shared JSON schema publishes constants such as basic attribute names, playable species keys, skill labels and alignment range. Games may alter pacing but not canon facts.</w:t>
      </w:r>
    </w:p>
    <w:p>
      <w:r>
        <w:t>Always label simulation and player housing as game features, not evidence about the novel timeline.</w:t>
      </w:r>
    </w:p>
    <w:p>
      <w:r>
        <w:t xml:space="preserve">Return to contents: </w:t>
      </w:r>
      <w:hyperlink w:anchor="contents">
        <w:r>
          <w:rPr>
            <w:color w:val="17629B"/>
          </w:rPr>
          <w:t>Contents</w:t>
        </w:r>
      </w:hyperlink>
    </w:p>
    <w:p>
      <w:r>
        <w:br w:type="page"/>
      </w:r>
    </w:p>
    <w:p>
      <w:bookmarkStart w:id="382141" w:name="tab_3"/>
      <w:pPr>
        <w:pStyle w:val="Heading1"/>
      </w:pPr>
      <w:r>
        <w:t>Tab 03  |  Steampunk: The Brassbound Age</w:t>
      </w:r>
      <w:bookmarkEnd w:id="382141"/>
    </w:p>
    <w:p>
      <w:r>
        <w:t>The old 'From Steampunk to Moonpunk in Aza’ra' document calls the steampunk period the Brassbound Age. Brass, storm-forged iron, visible conduits, pressure engines and stabilized ley-light were practical necessities, not mere ornament.</w:t>
      </w:r>
    </w:p>
    <w:p>
      <w:r>
        <w:t>Architecture should show serviceable pistons, chimney vents, accessible ramps, maintenance platforms and material weathering. Engineering failures have plausible repair paths.</w:t>
      </w:r>
    </w:p>
    <w:p>
      <w:r>
        <w:t>The imported old prose is subject to newer energy and geography corrections.</w:t>
      </w:r>
    </w:p>
    <w:p>
      <w:r>
        <w:t xml:space="preserve">Return to contents: </w:t>
      </w:r>
      <w:hyperlink w:anchor="contents">
        <w:r>
          <w:rPr>
            <w:color w:val="17629B"/>
          </w:rPr>
          <w:t>Contents</w:t>
        </w:r>
      </w:hyperlink>
    </w:p>
    <w:p>
      <w:r>
        <w:br w:type="page"/>
      </w:r>
    </w:p>
    <w:p>
      <w:bookmarkStart w:id="1171841" w:name="tab_4"/>
      <w:pPr>
        <w:pStyle w:val="Heading1"/>
      </w:pPr>
      <w:r>
        <w:t>Tab 04  |  Moonpunk: Triune-Lunar Civilization</w:t>
      </w:r>
      <w:bookmarkEnd w:id="1171841"/>
    </w:p>
    <w:p>
      <w:r>
        <w:t>Moonpunk extends the Brassbound tradition into technologies organized around Duvaen, W’iosamn and Arvalla. Moon-cycle infrastructure affects lighting, manufacturing and settlement rituals.</w:t>
      </w:r>
    </w:p>
    <w:p>
      <w:r>
        <w:t>Use distinct warm, silver and blue-silver illumination patterns for the three moons, while retaining high-contrast readable UI. Power demand and lunar alignment create meaningful scheduling opportunities.</w:t>
      </w:r>
    </w:p>
    <w:p>
      <w:r>
        <w:t>Lunar symbolism must not be mistaken for an unlimited energy source.</w:t>
      </w:r>
    </w:p>
    <w:p>
      <w:r>
        <w:t xml:space="preserve">Return to contents: </w:t>
      </w:r>
      <w:hyperlink w:anchor="contents">
        <w:r>
          <w:rPr>
            <w:color w:val="17629B"/>
          </w:rPr>
          <w:t>Contents</w:t>
        </w:r>
      </w:hyperlink>
    </w:p>
    <w:p>
      <w:r>
        <w:br w:type="page"/>
      </w:r>
    </w:p>
    <w:p>
      <w:bookmarkStart w:id="986866" w:name="tab_5"/>
      <w:pPr>
        <w:pStyle w:val="Heading1"/>
      </w:pPr>
      <w:r>
        <w:t>Tab 05  |  Post-Apocalyptic Recovery</w:t>
      </w:r>
      <w:bookmarkEnd w:id="986866"/>
    </w:p>
    <w:p>
      <w:r>
        <w:t>The disaster leaves population loss, disrupted supply routes and fragile local governance. Restoration involves surviving people with different needs and agendas, not empty ruin maps waiting to be conquered.</w:t>
      </w:r>
    </w:p>
    <w:p>
      <w:r>
        <w:t>Every region tracks shelter, potable water, medical access, clean transit, safe gathering spaces and resident trust. Recovery quests reward genuine improvements.</w:t>
      </w:r>
    </w:p>
    <w:p>
      <w:r>
        <w:t>Avoid converting mass casualties into decorative scenery without narrative consequences.</w:t>
      </w:r>
    </w:p>
    <w:p>
      <w:r>
        <w:t xml:space="preserve">Return to contents: </w:t>
      </w:r>
      <w:hyperlink w:anchor="contents">
        <w:r>
          <w:rPr>
            <w:color w:val="17629B"/>
          </w:rPr>
          <w:t>Contents</w:t>
        </w:r>
      </w:hyperlink>
    </w:p>
    <w:p>
      <w:r>
        <w:br w:type="page"/>
      </w:r>
    </w:p>
    <w:p>
      <w:bookmarkStart w:id="1046241" w:name="tab_6"/>
      <w:pPr>
        <w:pStyle w:val="Heading1"/>
      </w:pPr>
      <w:r>
        <w:t>Tab 06  |  Continents, Zones and Access</w:t>
      </w:r>
      <w:bookmarkEnd w:id="1046241"/>
    </w:p>
    <w:p>
      <w:r>
        <w:t>World zones belong to surviving landmasses or secure enclosed environments. Ruins, skyports, industrial districts, wetlands and reconstructed towns should feel distinct.</w:t>
      </w:r>
    </w:p>
    <w:p>
      <w:r>
        <w:t>Zone metadata includes an era status, local climate, traversal support, faction access and portal stability. Prevent accidental placement of contemporary NPCs on destroyed Belavadös.</w:t>
      </w:r>
    </w:p>
    <w:p>
      <w:r>
        <w:t>A historical map may still show Belavadös as a lost reference.</w:t>
      </w:r>
    </w:p>
    <w:p>
      <w:r>
        <w:t>Map validation rule: any region with destroyed_continent=true must have explorable=false and post_bomb_location=false.</w:t>
      </w:r>
    </w:p>
    <w:p>
      <w:r>
        <w:t xml:space="preserve">Return to contents: </w:t>
      </w:r>
      <w:hyperlink w:anchor="contents">
        <w:r>
          <w:rPr>
            <w:color w:val="17629B"/>
          </w:rPr>
          <w:t>Contents</w:t>
        </w:r>
      </w:hyperlink>
    </w:p>
    <w:p>
      <w:r>
        <w:br w:type="page"/>
      </w:r>
    </w:p>
    <w:p>
      <w:bookmarkStart w:id="1700603" w:name="tab_7"/>
      <w:pPr>
        <w:pStyle w:val="Heading1"/>
      </w:pPr>
      <w:r>
        <w:t>Tab 07  |  Species and Mixed Ancestry</w:t>
      </w:r>
      <w:bookmarkEnd w:id="1700603"/>
    </w:p>
    <w:p>
      <w:r>
        <w:t>Playable peoples register: 13 established names, 8 additional original proposals. Proposed species are not yet approved canon.</w:t>
      </w:r>
    </w:p>
    <w:p>
      <w:pPr/>
      <w:r>
        <w:t>Aza’raan: Mixed-ancestry portal descendants from the convergence of Earth and Uxrowo, central to the language and books. Naming influences: Proto-Oceanic + Uxrowoiye contact. Status: established by current user instructions.</w:t>
      </w:r>
    </w:p>
    <w:p>
      <w:pPr/>
      <w:r>
        <w:t>Kaluseban: An original Aza'ran people with six established bloodlines. Naming influences: Aza’raan local and community rules, requires individual language guide. Status: established in strict pantheon JSON.</w:t>
      </w:r>
    </w:p>
    <w:p>
      <w:pPr/>
      <w:r>
        <w:t>Azrahai (ancient Azh’raim): The Aza'ran draconic people; their nine established lineages retain their original names. Naming influences: Aza’raan local and community rules, requires individual language guide. Status: established in strict pantheon JSON.</w:t>
      </w:r>
    </w:p>
    <w:p>
      <w:pPr/>
      <w:r>
        <w:t>Gandirosha: An original Aza'ran people. Naming influences: Aza’raan local and community rules, requires individual language guide. Status: established in strict pantheon JSON.</w:t>
      </w:r>
    </w:p>
    <w:p>
      <w:pPr/>
      <w:r>
        <w:t>Panolima: An original Aza'ran people with five elemental bloodlines. Naming influences: Aza’raan local and community rules, requires individual language guide. Status: established in strict pantheon JSON.</w:t>
      </w:r>
    </w:p>
    <w:p>
      <w:pPr/>
      <w:r>
        <w:t>Gwynis: An original Aza'ran people. Naming influences: Aza’raan local and community rules, requires individual language guide. Status: established in strict pantheon JSON.</w:t>
      </w:r>
    </w:p>
    <w:p>
      <w:pPr/>
      <w:r>
        <w:t>Geisamahi: An original Aza'ran people. Naming influences: Aza’raan local and community rules, requires individual language guide. Status: established in strict pantheon JSON.</w:t>
      </w:r>
    </w:p>
    <w:p>
      <w:pPr/>
      <w:r>
        <w:t>Dril'thar: An original Aza'ran people; every established bloodline can breathe underwater. Naming influences: Aza’raan local and community rules, requires individual language guide. Status: established in strict pantheon JSON.</w:t>
      </w:r>
    </w:p>
    <w:p>
      <w:pPr/>
      <w:r>
        <w:t>Tamhiogal: An original Aza'ran people. Naming influences: Aza’raan local and community rules, requires individual language guide. Status: established in strict pantheon JSON.</w:t>
      </w:r>
    </w:p>
    <w:p>
      <w:pPr/>
      <w:r>
        <w:t>Jaspey: An original Aza'ran people with three established non-bloodline forms. Naming influences: Aza’raan local and community rules, requires individual language guide. Status: established in strict pantheon JSON.</w:t>
      </w:r>
    </w:p>
    <w:p>
      <w:pPr/>
      <w:r>
        <w:t>Aburata: An original Aza'ran people. Naming influences: Aza’raan local and community rules, requires individual language guide. Status: established in strict pantheon JSON.</w:t>
      </w:r>
    </w:p>
    <w:p>
      <w:pPr/>
      <w:r>
        <w:t>Deorbasun: An original Aza'ran people; its soul-animal bloodline remains open until the first true soul bond. Naming influences: Aza’raan local and community rules, requires individual language guide. Status: established in strict pantheon JSON.</w:t>
      </w:r>
    </w:p>
    <w:p>
      <w:pPr/>
      <w:r>
        <w:t>Volsarii: Mortal ferrymen of the dead who serve Nyxarion, live multiple lives, and gain wings in their final life. Naming influences: Aza’raan local and community rules, requires individual language guide. Status: established in strict pantheon JSON.</w:t>
      </w:r>
    </w:p>
    <w:p>
      <w:pPr/>
      <w:r>
        <w:t>Oruvakhi: Night-adapted luminous wayfinders descended from migrating twilight-spirit traditions. Their families organize routes by memorized constellations. Naming influences: Finnish and Swahili. Status: new proposal, not author approved.</w:t>
      </w:r>
    </w:p>
    <w:p>
      <w:pPr/>
      <w:r>
        <w:t>Mahindari: Tidal skinchangers linked to old human stories of beings who crossed between shore and sea. Their coast cultures protect ancestral landing sites. Naming influences: Georgian and Tagalog. Status: new proposal, not author approved.</w:t>
      </w:r>
    </w:p>
    <w:p>
      <w:pPr/>
      <w:r>
        <w:t>Qelusari: Winged highland voyagers descending from immense sky-creature legends who followed portal currents to Aza’ra. Naming influences: Welsh and Malayalam. Status: new proposal, not author approved.</w:t>
      </w:r>
    </w:p>
    <w:p>
      <w:pPr/>
      <w:r>
        <w:t>Anobari: Small-bodied hearth guardians descended from protective household-spirit folktales. Their craft traditions emphasize shared domestic safety. Naming influences: Basque and Thai. Status: new proposal, not author approved.</w:t>
      </w:r>
    </w:p>
    <w:p>
      <w:pPr/>
      <w:r>
        <w:t>Tserukhi: River-canyon guardians whose ancestors came from water-serpent legends. They build flood-safe structures and keep living river maps. Naming influences: Quechua and Turkish. Status: new proposal, not author approved.</w:t>
      </w:r>
    </w:p>
    <w:p>
      <w:pPr/>
      <w:r>
        <w:t>Zavomeri: Nocturnal pollen-tenders linked to luminous insect folklore. Their kin networks cultivate restoration gardens after environmental disasters. Naming influences: Yoruba and Japanese. Status: new proposal, not author approved.</w:t>
      </w:r>
    </w:p>
    <w:p>
      <w:pPr/>
      <w:r>
        <w:t>Helunari: Dryland mirage travelers inspired by desert spirit stories, with craft traditions designed around heat and distance. Naming influences: Persian and Māori. Status: new proposal, not author approved.</w:t>
      </w:r>
    </w:p>
    <w:p>
      <w:pPr/>
      <w:r>
        <w:t>Avurashi: Old-growth grove keepers descended from mobile wood-spirit stories, skilled in patient ecological repair. Naming influences: Ainu and Spanish. Status: new proposal, not author approved.</w:t>
      </w:r>
    </w:p>
    <w:p>
      <w:r>
        <w:t>The strict pantheon JSON establishes twelve playable species names. The design target is twenty or more, with all additional species gated as proposals until original names and source relationships are checked.</w:t>
      </w:r>
    </w:p>
    <w:p>
      <w:r>
        <w:t>Creation provides ancestry narratives, selectable cultural upbringing, appearance options and optional mixed heritage. Lohkahna’s Tamhiogal and Kaluseban ancestry and Jacob’s Deorbasun link are shared canon.</w:t>
      </w:r>
    </w:p>
    <w:p>
      <w:r>
        <w:t>Do not automatically infer abilities or temperament from ethnic or species names.</w:t>
      </w:r>
    </w:p>
    <w:p>
      <w:r>
        <w:t xml:space="preserve">Return to contents: </w:t>
      </w:r>
      <w:hyperlink w:anchor="contents">
        <w:r>
          <w:rPr>
            <w:color w:val="17629B"/>
          </w:rPr>
          <w:t>Contents</w:t>
        </w:r>
      </w:hyperlink>
    </w:p>
    <w:p>
      <w:r>
        <w:br w:type="page"/>
      </w:r>
    </w:p>
    <w:p>
      <w:bookmarkStart w:id="402909" w:name="tab_8"/>
      <w:pPr>
        <w:pStyle w:val="Heading1"/>
      </w:pPr>
      <w:r>
        <w:t>Tab 08  |  Names, Identity and Languages</w:t>
      </w:r>
      <w:bookmarkEnd w:id="402909"/>
    </w:p>
    <w:p>
      <w:r>
        <w:t>Names and spoken language evolve through shared settlement life. Aza’raan merges Proto-Oceanic-inspired Kaʻaheʻanua and Uxrowoiye influences, then develops through contact with other original peoples, including Kaluseban, Tamhiogal, Dril’thar, Azrahai, Deorbasun and Volsarii.</w:t>
      </w:r>
    </w:p>
    <w:p>
      <w:r>
        <w:t>NPCs may speak community dialects, use borrowed words, choose heritage names or code switch. Store a language tag and contact register identifier for relevant dialogue; do not decide personality by species. The 52-letter Proto and 38-letter Modern references are not automatic fantasy translation ciphers.</w:t>
      </w:r>
    </w:p>
    <w:p>
      <w:r>
        <w:t>The generator must not rewrite W’iosamn or protected archaic names to match a new spelling preference.</w:t>
      </w:r>
    </w:p>
    <w:p>
      <w:r>
        <w:t xml:space="preserve">Return to contents: </w:t>
      </w:r>
      <w:hyperlink w:anchor="contents">
        <w:r>
          <w:rPr>
            <w:color w:val="17629B"/>
          </w:rPr>
          <w:t>Contents</w:t>
        </w:r>
      </w:hyperlink>
    </w:p>
    <w:p>
      <w:r>
        <w:br w:type="page"/>
      </w:r>
    </w:p>
    <w:p>
      <w:bookmarkStart w:id="1816680" w:name="tab_9"/>
      <w:pPr>
        <w:pStyle w:val="Heading1"/>
      </w:pPr>
      <w:r>
        <w:t>Tab 09  |  Character Attributes and Skill Progress</w:t>
      </w:r>
      <w:bookmarkEnd w:id="1816680"/>
    </w:p>
    <w:p>
      <w:r>
        <w:t>The original starter attributes are Body, Agility, Insight, Presence and Attunement; skill training uses the same definitions as tabletop.</w:t>
      </w:r>
    </w:p>
    <w:p>
      <w:r>
        <w:t>A digital action computes the same 2d6 plus rating and skill logic behind the scenes. Progress unlocks new techniques and civic abilities without making beginners irrelevant to building, exploration or roleplay.</w:t>
      </w:r>
    </w:p>
    <w:p>
      <w:r>
        <w:t>Pacing may differ between offline tabletop and online real-time play, but probabilities must be documented.</w:t>
      </w:r>
    </w:p>
    <w:p>
      <w:r>
        <w:t xml:space="preserve">Return to contents: </w:t>
      </w:r>
      <w:hyperlink w:anchor="contents">
        <w:r>
          <w:rPr>
            <w:color w:val="17629B"/>
          </w:rPr>
          <w:t>Contents</w:t>
        </w:r>
      </w:hyperlink>
    </w:p>
    <w:p>
      <w:r>
        <w:br w:type="page"/>
      </w:r>
    </w:p>
    <w:p>
      <w:bookmarkStart w:id="1823843" w:name="tab_10"/>
      <w:pPr>
        <w:pStyle w:val="Heading1"/>
      </w:pPr>
      <w:r>
        <w:t>Tab 10  |  Alignment and Reputation</w:t>
      </w:r>
      <w:bookmarkEnd w:id="1823843"/>
    </w:p>
    <w:p>
      <w:r>
        <w:t>The Eight-Axis Covenant system tracks behavior without freezing a character into a moral box. Convictions and obligations remain independent from other people’s judgment.</w:t>
      </w:r>
    </w:p>
    <w:p>
      <w:r>
        <w:t>The UI shows eight values on 0 to 3000 scales, with contextual event notes and an undoable moderation record for contested outcomes. Reputation with villages, factions and individuals appears separately.</w:t>
      </w:r>
    </w:p>
    <w:p>
      <w:r>
        <w:t>Never use trauma, disability or supernatural contamination as automatic evidence of evil.</w:t>
      </w:r>
    </w:p>
    <w:p>
      <w:r>
        <w:t xml:space="preserve">Return to contents: </w:t>
      </w:r>
      <w:hyperlink w:anchor="contents">
        <w:r>
          <w:rPr>
            <w:color w:val="17629B"/>
          </w:rPr>
          <w:t>Contents</w:t>
        </w:r>
      </w:hyperlink>
    </w:p>
    <w:p>
      <w:r>
        <w:br w:type="page"/>
      </w:r>
    </w:p>
    <w:p>
      <w:bookmarkStart w:id="299094" w:name="tab_11"/>
      <w:pPr>
        <w:pStyle w:val="Heading1"/>
      </w:pPr>
      <w:r>
        <w:t>Tab 11  |  Schools of Magic and Focus</w:t>
      </w:r>
      <w:bookmarkEnd w:id="299094"/>
    </w:p>
    <w:p>
      <w:r>
        <w:t>Magic is born within souls while ambient flows remain strong yet volatile. Schools of magic can be retained from older MMORPG material, but casting risks and access must follow the revised Veil rules.</w:t>
      </w:r>
    </w:p>
    <w:p>
      <w:r>
        <w:t>Each working has a Focus cost, range, control check and environmental hazard. Public transit anchors reduce risk, while uncontrolled large-area teleportation remains dangerous.</w:t>
      </w:r>
    </w:p>
    <w:p>
      <w:r>
        <w:t>Effects in the MMORPG must use the same Focus and success terms as the starter tabletop engine.</w:t>
      </w:r>
    </w:p>
    <w:p>
      <w:r>
        <w:t xml:space="preserve">Return to contents: </w:t>
      </w:r>
      <w:hyperlink w:anchor="contents">
        <w:r>
          <w:rPr>
            <w:color w:val="17629B"/>
          </w:rPr>
          <w:t>Contents</w:t>
        </w:r>
      </w:hyperlink>
    </w:p>
    <w:p>
      <w:r>
        <w:br w:type="page"/>
      </w:r>
    </w:p>
    <w:p>
      <w:bookmarkStart w:id="1473857" w:name="tab_12"/>
      <w:pPr>
        <w:pStyle w:val="Heading1"/>
      </w:pPr>
      <w:r>
        <w:t>Tab 12  |  Combat, Defense and Cooperative Play</w:t>
      </w:r>
      <w:bookmarkEnd w:id="1473857"/>
    </w:p>
    <w:p>
      <w:r>
        <w:t>Combat is an optional part of a broader social and creative game. Players may take defender, support, medic, negotiator or tactical roles with distinct contributions.</w:t>
      </w:r>
    </w:p>
    <w:p>
      <w:r>
        <w:t>The online adapter maps action windows to the tabletop major-action and move economy, limits rapid repeated activations and respects guard and vitality rules.</w:t>
      </w:r>
    </w:p>
    <w:p>
      <w:r>
        <w:t>Avoid inaccessible quick-time mandatory interactions for critical quests.</w:t>
      </w:r>
    </w:p>
    <w:p>
      <w:r>
        <w:t xml:space="preserve">Return to contents: </w:t>
      </w:r>
      <w:hyperlink w:anchor="contents">
        <w:r>
          <w:rPr>
            <w:color w:val="17629B"/>
          </w:rPr>
          <w:t>Contents</w:t>
        </w:r>
      </w:hyperlink>
    </w:p>
    <w:p>
      <w:r>
        <w:br w:type="page"/>
      </w:r>
    </w:p>
    <w:p>
      <w:bookmarkStart w:id="687039" w:name="tab_13"/>
      <w:pPr>
        <w:pStyle w:val="Heading1"/>
      </w:pPr>
      <w:r>
        <w:t>Tab 13  |  Crafting and Workshop Chains</w:t>
      </w:r>
      <w:bookmarkEnd w:id="687039"/>
    </w:p>
    <w:p>
      <w:r>
        <w:t>Crafting links gathering, refining, assembly, maintenance and skilled labor. The player's workshop can make civic goods as well as personal equipment.</w:t>
      </w:r>
    </w:p>
    <w:p>
      <w:r>
        <w:t>Recipes specify input resources, workstations, stages, power demand, time and recoverable scraps. Advanced materials require safe containment and specialty training.</w:t>
      </w:r>
    </w:p>
    <w:p>
      <w:r>
        <w:t>The new powerful liquid substance cannot be combined with uncontrolled magic or electricity in a casual crafting station.</w:t>
      </w:r>
    </w:p>
    <w:p>
      <w:r>
        <w:t xml:space="preserve">Return to contents: </w:t>
      </w:r>
      <w:hyperlink w:anchor="contents">
        <w:r>
          <w:rPr>
            <w:color w:val="17629B"/>
          </w:rPr>
          <w:t>Contents</w:t>
        </w:r>
      </w:hyperlink>
    </w:p>
    <w:p>
      <w:r>
        <w:br w:type="page"/>
      </w:r>
    </w:p>
    <w:p>
      <w:bookmarkStart w:id="1361024" w:name="tab_14"/>
      <w:pPr>
        <w:pStyle w:val="Heading1"/>
      </w:pPr>
      <w:r>
        <w:t>Tab 14  |  Farming, Ecology and Resource Renewal</w:t>
      </w:r>
      <w:bookmarkEnd w:id="1361024"/>
    </w:p>
    <w:p>
      <w:r>
        <w:t>Communities need food, clean soil, sustainable timber and recovered habitats. Harvest rates must respond to ecological health and local weather rather than infinite resource nodes.</w:t>
      </w:r>
    </w:p>
    <w:p>
      <w:r>
        <w:t>Plots track crop families, water access, contamination, recovery time and biodiversity. Residents can contribute skills, while players choose whether to farm privately or cooperatively.</w:t>
      </w:r>
    </w:p>
    <w:p>
      <w:r>
        <w:t>Post-apocalyptic land should not become fully restored in an instant without in-world work.</w:t>
      </w:r>
    </w:p>
    <w:p>
      <w:r>
        <w:t xml:space="preserve">Return to contents: </w:t>
      </w:r>
      <w:hyperlink w:anchor="contents">
        <w:r>
          <w:rPr>
            <w:color w:val="17629B"/>
          </w:rPr>
          <w:t>Contents</w:t>
        </w:r>
      </w:hyperlink>
    </w:p>
    <w:p>
      <w:r>
        <w:br w:type="page"/>
      </w:r>
    </w:p>
    <w:p>
      <w:bookmarkStart w:id="1494267" w:name="tab_15"/>
      <w:pPr>
        <w:pStyle w:val="Heading1"/>
      </w:pPr>
      <w:r>
        <w:t>Tab 15  |  Architect and Interior Design</w:t>
      </w:r>
      <w:bookmarkEnd w:id="1494267"/>
    </w:p>
    <w:p>
      <w:r>
        <w:t>Construction provides room-by-room placement, resizable walls, windows, doors, stairs, ramps, furniture and layered decoration. Building previews must show footprint and collision.</w:t>
      </w:r>
    </w:p>
    <w:p>
      <w:r>
        <w:t>The design tool supports rotate, move, recolor, resize, undo, redo, templates and accessibility overlays. Save serialized floorplans as structured JSON with owner and permission records.</w:t>
      </w:r>
    </w:p>
    <w:p>
      <w:r>
        <w:t>Furniture should be usable where affordances exist rather than merely decorative.</w:t>
      </w:r>
    </w:p>
    <w:p>
      <w:r>
        <w:t xml:space="preserve">Return to contents: </w:t>
      </w:r>
      <w:hyperlink w:anchor="contents">
        <w:r>
          <w:rPr>
            <w:color w:val="17629B"/>
          </w:rPr>
          <w:t>Contents</w:t>
        </w:r>
      </w:hyperlink>
    </w:p>
    <w:p>
      <w:r>
        <w:br w:type="page"/>
      </w:r>
    </w:p>
    <w:p>
      <w:bookmarkStart w:id="1817176" w:name="tab_16"/>
      <w:pPr>
        <w:pStyle w:val="Heading1"/>
      </w:pPr>
      <w:r>
        <w:t>Tab 16  |  Private Dimensions and Whole Towns</w:t>
      </w:r>
      <w:bookmarkEnd w:id="1817176"/>
    </w:p>
    <w:p>
      <w:r>
        <w:t>Players can establish private dimensions containing multiple streets, housing lots, gardens, businesses and communal buildings. A dimension is a persistent community project, not a small furniture-only plot.</w:t>
      </w:r>
    </w:p>
    <w:p>
      <w:r>
        <w:t>Provide zoning, infrastructure budgets, terrain editing, waterways, utilities, residents, guest roles, building permits and rollback/version history. Shared access must be opt-in.</w:t>
      </w:r>
    </w:p>
    <w:p>
      <w:r>
        <w:t>The in-game town is a separate constructed space, not a way to restore the lost real continent of Belavadös.</w:t>
      </w:r>
    </w:p>
    <w:p>
      <w:r>
        <w:t xml:space="preserve">Return to contents: </w:t>
      </w:r>
      <w:hyperlink w:anchor="contents">
        <w:r>
          <w:rPr>
            <w:color w:val="17629B"/>
          </w:rPr>
          <w:t>Contents</w:t>
        </w:r>
      </w:hyperlink>
    </w:p>
    <w:p>
      <w:r>
        <w:br w:type="page"/>
      </w:r>
    </w:p>
    <w:p>
      <w:bookmarkStart w:id="1493615" w:name="tab_17"/>
      <w:pPr>
        <w:pStyle w:val="Heading1"/>
      </w:pPr>
      <w:r>
        <w:t>Tab 17  |  NPC Households and Daily Routines</w:t>
      </w:r>
      <w:bookmarkEnd w:id="1493615"/>
    </w:p>
    <w:p>
      <w:r>
        <w:t>Residents have jobs, relationships, sleep routines, needs and rights to privacy. A settlement’s residents should remain people, not automated decorative resource producers.</w:t>
      </w:r>
    </w:p>
    <w:p>
      <w:r>
        <w:t>Schedule data stores home, workplace, kinships, community tasks and personal preferences. NPCs can refuse unsuitable conditions or negotiate changes.</w:t>
      </w:r>
    </w:p>
    <w:p>
      <w:r>
        <w:t>Dialogue choices and attitudes persist only when grounded in actual encounters.</w:t>
      </w:r>
    </w:p>
    <w:p>
      <w:r>
        <w:t xml:space="preserve">Return to contents: </w:t>
      </w:r>
      <w:hyperlink w:anchor="contents">
        <w:r>
          <w:rPr>
            <w:color w:val="17629B"/>
          </w:rPr>
          <w:t>Contents</w:t>
        </w:r>
      </w:hyperlink>
    </w:p>
    <w:p>
      <w:r>
        <w:br w:type="page"/>
      </w:r>
    </w:p>
    <w:p>
      <w:bookmarkStart w:id="1813619" w:name="tab_18"/>
      <w:pPr>
        <w:pStyle w:val="Heading1"/>
      </w:pPr>
      <w:r>
        <w:t>Tab 18  |  Careers and Community Services</w:t>
      </w:r>
      <w:bookmarkEnd w:id="1813619"/>
    </w:p>
    <w:p>
      <w:r>
        <w:t>Career progress includes makers, transit crews, archivists, builders, growers, medics and other public specialists. Each profession contributes practical settlement benefits.</w:t>
      </w:r>
    </w:p>
    <w:p>
      <w:r>
        <w:t>Employment systems track skill prerequisites, contracts, wages, workspace safety, hours and learned techniques. Cooperative projects distribute credit fairly.</w:t>
      </w:r>
    </w:p>
    <w:p>
      <w:r>
        <w:t>A player's vocation must not be hardlocked by species or gender.</w:t>
      </w:r>
    </w:p>
    <w:p>
      <w:r>
        <w:t xml:space="preserve">Return to contents: </w:t>
      </w:r>
      <w:hyperlink w:anchor="contents">
        <w:r>
          <w:rPr>
            <w:color w:val="17629B"/>
          </w:rPr>
          <w:t>Contents</w:t>
        </w:r>
      </w:hyperlink>
    </w:p>
    <w:p>
      <w:r>
        <w:br w:type="page"/>
      </w:r>
    </w:p>
    <w:p>
      <w:bookmarkStart w:id="1307447" w:name="tab_19"/>
      <w:pPr>
        <w:pStyle w:val="Heading1"/>
      </w:pPr>
      <w:r>
        <w:t>Tab 19  |  Transportation, Skyships and Anchors</w:t>
      </w:r>
      <w:bookmarkEnd w:id="1307447"/>
    </w:p>
    <w:p>
      <w:r>
        <w:t>Rail, carriage, vessel, skyship and public short-range portal networks make travel coherent despite volatile magic. Safe destinations have surveyed anchors and maintenance staff.</w:t>
      </w:r>
    </w:p>
    <w:p>
      <w:r>
        <w:t>Transit tickets, schedules, wheelchair access, route reliability and failures are first-class systems. Longer uncontrolled transport risks misrouting across oceans or between distant regions.</w:t>
      </w:r>
    </w:p>
    <w:p>
      <w:r>
        <w:t>A teleport interface never asserts a perfectly safe free jump to any map coordinate.</w:t>
      </w:r>
    </w:p>
    <w:p>
      <w:r>
        <w:t xml:space="preserve">Return to contents: </w:t>
      </w:r>
      <w:hyperlink w:anchor="contents">
        <w:r>
          <w:rPr>
            <w:color w:val="17629B"/>
          </w:rPr>
          <w:t>Contents</w:t>
        </w:r>
      </w:hyperlink>
    </w:p>
    <w:p>
      <w:r>
        <w:br w:type="page"/>
      </w:r>
    </w:p>
    <w:p>
      <w:bookmarkStart w:id="537375" w:name="tab_20"/>
      <w:pPr>
        <w:pStyle w:val="Heading1"/>
      </w:pPr>
      <w:r>
        <w:t>Tab 20  |  Trading, Currencies and Ownership</w:t>
      </w:r>
      <w:bookmarkEnd w:id="537375"/>
    </w:p>
    <w:p>
      <w:r>
        <w:t>Regional markets track materials, craft quality, demand and transport costs. Player shops and civic exchanges operate with item ownership and anti-duplication protections.</w:t>
      </w:r>
    </w:p>
    <w:p>
      <w:r>
        <w:t>Transactions record buyer, seller, quantity, currency, taxes, provenance and rollback reason. Market prices can fluctuate but basic food and accessibility equipment should not be treated merely as luxury rewards.</w:t>
      </w:r>
    </w:p>
    <w:p>
      <w:r>
        <w:t>Do not promote an older conversion table as universal canon without confirmation.</w:t>
      </w:r>
    </w:p>
    <w:p>
      <w:r>
        <w:t xml:space="preserve">Return to contents: </w:t>
      </w:r>
      <w:hyperlink w:anchor="contents">
        <w:r>
          <w:rPr>
            <w:color w:val="17629B"/>
          </w:rPr>
          <w:t>Contents</w:t>
        </w:r>
      </w:hyperlink>
    </w:p>
    <w:p>
      <w:r>
        <w:br w:type="page"/>
      </w:r>
    </w:p>
    <w:p>
      <w:bookmarkStart w:id="112619" w:name="tab_21"/>
      <w:pPr>
        <w:pStyle w:val="Heading1"/>
      </w:pPr>
      <w:r>
        <w:t>Tab 21  |  Quests, Stories and World Events</w:t>
      </w:r>
      <w:bookmarkEnd w:id="112619"/>
    </w:p>
    <w:p>
      <w:r>
        <w:t>Questlines support rebuilding, rescue, diplomacy, exploration and mystery alongside conflict. Community events may involve lunar cycles, supply convoys or critical public repairs.</w:t>
      </w:r>
    </w:p>
    <w:p>
      <w:r>
        <w:t>Each quest has prerequisites, actor ownership, branching resolutions, faction effects and persistent environmental changes. Time-limited content must not permanently block the main narrative for late-arriving players.</w:t>
      </w:r>
    </w:p>
    <w:p>
      <w:r>
        <w:t>A quest about lost Belavadös is historical discovery, not a visit to an intact continent.</w:t>
      </w:r>
    </w:p>
    <w:p>
      <w:r>
        <w:t xml:space="preserve">Return to contents: </w:t>
      </w:r>
      <w:hyperlink w:anchor="contents">
        <w:r>
          <w:rPr>
            <w:color w:val="17629B"/>
          </w:rPr>
          <w:t>Contents</w:t>
        </w:r>
      </w:hyperlink>
    </w:p>
    <w:p>
      <w:r>
        <w:br w:type="page"/>
      </w:r>
    </w:p>
    <w:p>
      <w:bookmarkStart w:id="1999054" w:name="tab_22"/>
      <w:pPr>
        <w:pStyle w:val="Heading1"/>
      </w:pPr>
      <w:r>
        <w:t>Tab 22  |  Guilds, PvP and Social Safety</w:t>
      </w:r>
      <w:bookmarkEnd w:id="1999054"/>
    </w:p>
    <w:p>
      <w:r>
        <w:t>Guilds support collaborative research, town construction, transit networks and competitive challenges. PvP must be explicitly opted into and cannot become an excuse for harassment or housing vandalism.</w:t>
      </w:r>
    </w:p>
    <w:p>
      <w:r>
        <w:t>Configure safe zones, group permissions, dueling consent, moderation logs, mute/block features and accessible communication alternatives.</w:t>
      </w:r>
    </w:p>
    <w:p>
      <w:r>
        <w:t>Player ownership and identity details remain protected in public visitor views.</w:t>
      </w:r>
    </w:p>
    <w:p>
      <w:r>
        <w:t xml:space="preserve">Return to contents: </w:t>
      </w:r>
      <w:hyperlink w:anchor="contents">
        <w:r>
          <w:rPr>
            <w:color w:val="17629B"/>
          </w:rPr>
          <w:t>Contents</w:t>
        </w:r>
      </w:hyperlink>
    </w:p>
    <w:p>
      <w:r>
        <w:br w:type="page"/>
      </w:r>
    </w:p>
    <w:p>
      <w:bookmarkStart w:id="1694522" w:name="tab_23"/>
      <w:pPr>
        <w:pStyle w:val="Heading1"/>
      </w:pPr>
      <w:r>
        <w:t>Tab 23  |  Offline Play, Saving and Recovery</w:t>
      </w:r>
      <w:bookmarkEnd w:id="1694522"/>
    </w:p>
    <w:p>
      <w:r>
        <w:t>Offline-safe features should preserve local drafts for homes, characters and noncompetitive crafting plans without claiming remote synchronization happened.</w:t>
      </w:r>
    </w:p>
    <w:p>
      <w:r>
        <w:t>Every record uses a versioned schema, unique ID, timestamp and migration checks. Online reconciliation must reject item duplication and preserve the latest verified user choice.</w:t>
      </w:r>
    </w:p>
    <w:p>
      <w:r>
        <w:t>Do not silently invent backend services or claim multiplayer synchronization without a configured endpoint.</w:t>
      </w:r>
    </w:p>
    <w:p>
      <w:r>
        <w:t xml:space="preserve">Return to contents: </w:t>
      </w:r>
      <w:hyperlink w:anchor="contents">
        <w:r>
          <w:rPr>
            <w:color w:val="17629B"/>
          </w:rPr>
          <w:t>Contents</w:t>
        </w:r>
      </w:hyperlink>
    </w:p>
    <w:p>
      <w:r>
        <w:br w:type="page"/>
      </w:r>
    </w:p>
    <w:p>
      <w:bookmarkStart w:id="1508292" w:name="tab_24"/>
      <w:pPr>
        <w:pStyle w:val="Heading1"/>
      </w:pPr>
      <w:r>
        <w:t>Tab 24  |  Production Roadmap and QA</w:t>
      </w:r>
      <w:bookmarkEnd w:id="1508292"/>
    </w:p>
    <w:p>
      <w:r>
        <w:t>Ship the shared core, identity tools, map restrictions, transit systems and first craft loops before expanding to thousands of decorative items. Tests should validate every cross-system canon rule.</w:t>
      </w:r>
    </w:p>
    <w:p>
      <w:r>
        <w:t>Audit fictional history, character sheet calculations, keyboard accessibility, mobile sizing, save migration, exploit resistance, and reference links with every release.</w:t>
      </w:r>
    </w:p>
    <w:p>
      <w:r>
        <w:t>This guide describes a design specification and starter demonstrator, not a finished live MMORPG service.</w:t>
      </w:r>
    </w:p>
    <w:p/>
    <w:p>
      <w:pPr>
        <w:pStyle w:val="Heading2"/>
      </w:pPr>
      <w:r>
        <w:t>Race Appearance Canon Update | 11 October 2026</w:t>
      </w:r>
    </w:p>
    <w:p>
      <w:r>
        <w:t>Author-approved race appearance canon is synchronized with Aza_ra_All_Races_and_Mixed_Azaaraan_Heritages.txt and the shared race registry. These are corrections to people and character creation, not a revision to Aza’raan linguistic grammar or writing.</w:t>
      </w:r>
    </w:p>
    <w:p>
      <w:r>
        <w:t>Dril'thar is the single, timeless name for the amphibious species and its six environmental bloodlines. Azh’raim is the ancient name of the draconic people; Azrahai is their modern name, simplified gradually over time without a new species arising.</w:t>
      </w:r>
    </w:p>
    <w:p>
      <w:r>
        <w:t>Jaspey form appearances: Mosscap has a moss-textured head or crown with soft green-brown highlights. Gloomtail has a shadow-adapted tail or low-light markings. Rotcap has dark fungal or decay-associated patterning. All three are approved.</w:t>
      </w:r>
    </w:p>
    <w:p>
      <w:r>
        <w:t>Aza’raans: very pale to lightly tanned complexion, chiefly copper through dark-auburn hair, brown hair sometimes, black and blonde hair rarely. Silver, blue or green eyes are common. Family variations can derive from Kaluseban, Deorbasun, Zirramunis, Iamhazira and Gandirosha heritage.</w:t>
      </w:r>
    </w:p>
    <w:p>
      <w:pPr>
        <w:pStyle w:val="ListBullet"/>
      </w:pPr>
      <w:r>
        <w:t>Aza’raan with Kaluseban ancestry: Kalus’aan is the established name for this mixed-ancestry community. Their Aza’raan cranial ridges, slender limbs, silver, blue, or green eyes and copper-to-auburn hair may mingle with Kaluseban color shifts, luminous marks, mineral textures, water-adapted accents, or forest and shadow features. The six documented Kalus’aan expressions are Arcane, Starborne, Wildroot, Tideborn, Stonebound, and Umbral; they are not six separate species. Appearance differs with the family and the particular Kaluseban bloodline.</w:t>
      </w:r>
    </w:p>
    <w:p>
      <w:pPr>
        <w:pStyle w:val="ListBullet"/>
      </w:pPr>
      <w:r>
        <w:t>Aza’raan with Deorbasun ancestry: An Aza’raan descendant of a Deorbasun family may keep pale-to-lightly-tanned Aza’raan skin and auburn or copper hair while expressing more pronounced reflective eyes, feline or other soul-animal hints, a heavier mane, unusual ear contours, tail, fur patches, claw-like nails, or rare wing features. The Deorbasun soul-animal bond is individually expressed and cannot be assigned a standard animal or fixed bloodline by appearance alone. No separate canonical community name has been established.</w:t>
      </w:r>
    </w:p>
    <w:p>
      <w:pPr>
        <w:pStyle w:val="ListBullet"/>
      </w:pPr>
      <w:r>
        <w:t>Aza’raan with Zirramunis ancestry: These descendants may be shorter or more densely built than a typical Aza’raan, with strong forearms, compact musculature, prominent bone structure, mineral-glinting eyes, stone-colored accent markings, and thick hair or beard growth. Copper and dark auburn hair and the silver, blue, or green Aza’raan eye spectrum can persist, with jeweled or metallic notes from Zirramunis heritage. No distinct mixed-species name or special fixed subtype is confirmed.</w:t>
      </w:r>
    </w:p>
    <w:p>
      <w:pPr>
        <w:pStyle w:val="ListBullet"/>
      </w:pPr>
      <w:r>
        <w:t>Aza’raan with Iamhazira ancestry: The historically documented Aza’zira community blends Aza’raan facial proportions, psionic markings, and reflective eyes with Iamhazira height, powerful musculature, endurance traits, braids, strong jaw structure, and sometimes tusk features. Complexion may extend beyond the unmixed pale-to-lightly-tanned baseline where that parental lineage is visible. Individuals may retain copper or auburn hair, or express their Iamhazira family’s tones and scar or ornament customs.</w:t>
      </w:r>
    </w:p>
    <w:p>
      <w:pPr>
        <w:pStyle w:val="ListBullet"/>
      </w:pPr>
      <w:r>
        <w:t>Aza’raan with Gandirosha ancestry: These descendants can retain the typical pale or lightly tanned Aza’raan complexion, copper or auburn hair and silver, blue, or green eyes, while expressing greater agility, a more compact or lithe build, freckles that resemble luminous sigils, more mobile facial expression, or colorful hair highlights associated with Gandirosha ancestry. These are variable family traits, not a separate named species or mandatory personality features.</w:t>
      </w:r>
    </w:p>
    <w:p>
      <w:pPr>
        <w:pStyle w:val="Heading2"/>
      </w:pPr>
      <w:r>
        <w:t>Pix, pointed ears and the maternal protector bloodline</w:t>
      </w:r>
    </w:p>
    <w:p>
      <w:r>
        <w:t>Pix family appearance canon: Pix is a transgender man who can pass as human despite his visibly pointed, backward-swept ears. The childhood name 'Pix' came from those conspicuous ears, which his parents explained as an old inherited abnormality. Pix and his father have the tell-tale pointed ears. Pix's mother, Jacob and Clarahmizah have ordinary-looking human ears without points. Pix's mother eventually explains that much of the protector bloodline shared by her and Clarahmizah has Gandirosha and Zirramunis ancestry, and many descendants lost the conspicuous Aza'raan ear shape. Pix inherited the unmistakable ears through his father. The absence of pointed ears does not erase anyone's Aza'raan lineage or protector heritage.</w:t>
      </w:r>
    </w:p>
    <w:sectPr w:rsidR="00FC693F" w:rsidRPr="0006063C" w:rsidSect="00034616">
      <w:footerReference w:type="default" r:id="rId9"/>
      <w:pgSz w:w="12240" w:h="15840"/>
      <w:pgMar w:top="1109" w:right="1181" w:bottom="110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Aza’ra Full  |  Source-led guidebook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F7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4F7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4F7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