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Aza’ra TTRPG | Guidebook</w:t>
      </w:r>
    </w:p>
    <w:p>
      <w:r>
        <w:rPr>
          <w:i/>
        </w:rPr>
        <w:t>24 navigable sections  •  Original-source reconstruction  •  Canon priority: current instructions</w:t>
      </w:r>
    </w:p>
    <w:p>
      <w:bookmarkStart w:id="645937" w:name="contents"/>
      <w:pPr>
        <w:pStyle w:val="Heading1"/>
      </w:pPr>
      <w:r>
        <w:t>Contents</w:t>
      </w:r>
      <w:bookmarkEnd w:id="645937"/>
    </w:p>
    <w:p>
      <w:pPr>
        <w:spacing w:after="20" w:line="240" w:lineRule="auto"/>
      </w:pPr>
      <w:hyperlink w:anchor="tab_1">
        <w:r>
          <w:rPr>
            <w:color w:val="17629B"/>
          </w:rPr>
          <w:t>01  Guide and Continuity Boundaries</w:t>
        </w:r>
      </w:hyperlink>
    </w:p>
    <w:p>
      <w:pPr>
        <w:spacing w:after="20" w:line="240" w:lineRule="auto"/>
      </w:pPr>
      <w:hyperlink w:anchor="tab_2">
        <w:r>
          <w:rPr>
            <w:color w:val="17629B"/>
          </w:rPr>
          <w:t>02  The Cataclysm and Historical Calendar</w:t>
        </w:r>
      </w:hyperlink>
    </w:p>
    <w:p>
      <w:pPr>
        <w:spacing w:after="20" w:line="240" w:lineRule="auto"/>
      </w:pPr>
      <w:hyperlink w:anchor="tab_3">
        <w:r>
          <w:rPr>
            <w:color w:val="17629B"/>
          </w:rPr>
          <w:t>03  Belavadös Before the Iron Dominion Bomb</w:t>
        </w:r>
      </w:hyperlink>
    </w:p>
    <w:p>
      <w:pPr>
        <w:spacing w:after="20" w:line="240" w:lineRule="auto"/>
      </w:pPr>
      <w:hyperlink w:anchor="tab_4">
        <w:r>
          <w:rPr>
            <w:color w:val="17629B"/>
          </w:rPr>
          <w:t>04  Galaxy Era: Interstellar Life and Time Laws</w:t>
        </w:r>
      </w:hyperlink>
    </w:p>
    <w:p>
      <w:pPr>
        <w:spacing w:after="20" w:line="240" w:lineRule="auto"/>
      </w:pPr>
      <w:hyperlink w:anchor="tab_5">
        <w:r>
          <w:rPr>
            <w:color w:val="17629B"/>
          </w:rPr>
          <w:t>05  Original Core Resolution</w:t>
        </w:r>
      </w:hyperlink>
    </w:p>
    <w:p>
      <w:pPr>
        <w:spacing w:after="20" w:line="240" w:lineRule="auto"/>
      </w:pPr>
      <w:hyperlink w:anchor="tab_6">
        <w:r>
          <w:rPr>
            <w:color w:val="17629B"/>
          </w:rPr>
          <w:t>06  Attributes, Skills and Derived Values</w:t>
        </w:r>
      </w:hyperlink>
    </w:p>
    <w:p>
      <w:pPr>
        <w:spacing w:after="20" w:line="240" w:lineRule="auto"/>
      </w:pPr>
      <w:hyperlink w:anchor="tab_7">
        <w:r>
          <w:rPr>
            <w:color w:val="17629B"/>
          </w:rPr>
          <w:t>07  Playable Species and Mixed Ancestry</w:t>
        </w:r>
      </w:hyperlink>
    </w:p>
    <w:p>
      <w:pPr>
        <w:spacing w:after="20" w:line="240" w:lineRule="auto"/>
      </w:pPr>
      <w:hyperlink w:anchor="tab_8">
        <w:r>
          <w:rPr>
            <w:color w:val="17629B"/>
          </w:rPr>
          <w:t>08  Identity, Accessibility and Character Sheets</w:t>
        </w:r>
      </w:hyperlink>
    </w:p>
    <w:p>
      <w:pPr>
        <w:spacing w:after="20" w:line="240" w:lineRule="auto"/>
      </w:pPr>
      <w:hyperlink w:anchor="tab_9">
        <w:r>
          <w:rPr>
            <w:color w:val="17629B"/>
          </w:rPr>
          <w:t>09  Covenant and Eight-Axis Alignment</w:t>
        </w:r>
      </w:hyperlink>
    </w:p>
    <w:p>
      <w:pPr>
        <w:spacing w:after="20" w:line="240" w:lineRule="auto"/>
      </w:pPr>
      <w:hyperlink w:anchor="tab_10">
        <w:r>
          <w:rPr>
            <w:color w:val="17629B"/>
          </w:rPr>
          <w:t>10  Paths, Training and Advancement</w:t>
        </w:r>
      </w:hyperlink>
    </w:p>
    <w:p>
      <w:pPr>
        <w:spacing w:after="20" w:line="240" w:lineRule="auto"/>
      </w:pPr>
      <w:hyperlink w:anchor="tab_11">
        <w:r>
          <w:rPr>
            <w:color w:val="17629B"/>
          </w:rPr>
          <w:t>11  Magic Sources and Collaborative Casting</w:t>
        </w:r>
      </w:hyperlink>
    </w:p>
    <w:p>
      <w:pPr>
        <w:spacing w:after="20" w:line="240" w:lineRule="auto"/>
      </w:pPr>
      <w:hyperlink w:anchor="tab_12">
        <w:r>
          <w:rPr>
            <w:color w:val="17629B"/>
          </w:rPr>
          <w:t>12  Divine Roles and Boundaries</w:t>
        </w:r>
      </w:hyperlink>
    </w:p>
    <w:p>
      <w:pPr>
        <w:spacing w:after="20" w:line="240" w:lineRule="auto"/>
      </w:pPr>
      <w:hyperlink w:anchor="tab_13">
        <w:r>
          <w:rPr>
            <w:color w:val="17629B"/>
          </w:rPr>
          <w:t>13  Action Scenes, Turns and Position</w:t>
        </w:r>
      </w:hyperlink>
    </w:p>
    <w:p>
      <w:pPr>
        <w:spacing w:after="20" w:line="240" w:lineRule="auto"/>
      </w:pPr>
      <w:hyperlink w:anchor="tab_14">
        <w:r>
          <w:rPr>
            <w:color w:val="17629B"/>
          </w:rPr>
          <w:t>14  Harm, Recovery and Consent</w:t>
        </w:r>
      </w:hyperlink>
    </w:p>
    <w:p>
      <w:pPr>
        <w:spacing w:after="20" w:line="240" w:lineRule="auto"/>
      </w:pPr>
      <w:hyperlink w:anchor="tab_15">
        <w:r>
          <w:rPr>
            <w:color w:val="17629B"/>
          </w:rPr>
          <w:t>15  Investigation, Research and Field Evidence</w:t>
        </w:r>
      </w:hyperlink>
    </w:p>
    <w:p>
      <w:pPr>
        <w:spacing w:after="20" w:line="240" w:lineRule="auto"/>
      </w:pPr>
      <w:hyperlink w:anchor="tab_16">
        <w:r>
          <w:rPr>
            <w:color w:val="17629B"/>
          </w:rPr>
          <w:t>16  Factions, Courts and Reputation</w:t>
        </w:r>
      </w:hyperlink>
    </w:p>
    <w:p>
      <w:pPr>
        <w:spacing w:after="20" w:line="240" w:lineRule="auto"/>
      </w:pPr>
      <w:hyperlink w:anchor="tab_17">
        <w:r>
          <w:rPr>
            <w:color w:val="17629B"/>
          </w:rPr>
          <w:t>17  Social Scenes and NPC Autonomy</w:t>
        </w:r>
      </w:hyperlink>
    </w:p>
    <w:p>
      <w:pPr>
        <w:spacing w:after="20" w:line="240" w:lineRule="auto"/>
      </w:pPr>
      <w:hyperlink w:anchor="tab_18">
        <w:r>
          <w:rPr>
            <w:color w:val="17629B"/>
          </w:rPr>
          <w:t>18  Careers, Work and Crafting</w:t>
        </w:r>
      </w:hyperlink>
    </w:p>
    <w:p>
      <w:pPr>
        <w:spacing w:after="20" w:line="240" w:lineRule="auto"/>
      </w:pPr>
      <w:hyperlink w:anchor="tab_19">
        <w:r>
          <w:rPr>
            <w:color w:val="17629B"/>
          </w:rPr>
          <w:t>19  Settlements, Architecture and Homes</w:t>
        </w:r>
      </w:hyperlink>
    </w:p>
    <w:p>
      <w:pPr>
        <w:spacing w:after="20" w:line="240" w:lineRule="auto"/>
      </w:pPr>
      <w:hyperlink w:anchor="tab_20">
        <w:r>
          <w:rPr>
            <w:color w:val="17629B"/>
          </w:rPr>
          <w:t>20  Currency, Markets and Rewards</w:t>
        </w:r>
      </w:hyperlink>
    </w:p>
    <w:p>
      <w:pPr>
        <w:spacing w:after="20" w:line="240" w:lineRule="auto"/>
      </w:pPr>
      <w:hyperlink w:anchor="tab_21">
        <w:r>
          <w:rPr>
            <w:color w:val="17629B"/>
          </w:rPr>
          <w:t>21  Travel, Public Transit and Portals</w:t>
        </w:r>
      </w:hyperlink>
    </w:p>
    <w:p>
      <w:pPr>
        <w:spacing w:after="20" w:line="240" w:lineRule="auto"/>
      </w:pPr>
      <w:hyperlink w:anchor="tab_22">
        <w:r>
          <w:rPr>
            <w:color w:val="17629B"/>
          </w:rPr>
          <w:t>22  Vehicles, Spacecraft and Communication</w:t>
        </w:r>
      </w:hyperlink>
    </w:p>
    <w:p>
      <w:pPr>
        <w:spacing w:after="20" w:line="240" w:lineRule="auto"/>
      </w:pPr>
      <w:hyperlink w:anchor="tab_23">
        <w:r>
          <w:rPr>
            <w:color w:val="17629B"/>
          </w:rPr>
          <w:t>23  Quests, Autonomy and Campaign Clocks</w:t>
        </w:r>
      </w:hyperlink>
    </w:p>
    <w:p>
      <w:pPr>
        <w:spacing w:after="20" w:line="240" w:lineRule="auto"/>
      </w:pPr>
      <w:hyperlink w:anchor="tab_24">
        <w:r>
          <w:rPr>
            <w:color w:val="17629B"/>
          </w:rPr>
          <w:t>24  Session Tools, Safety and Example Play</w:t>
        </w:r>
      </w:hyperlink>
    </w:p>
    <w:p>
      <w:r>
        <w:t>Navigation: open Word’s Navigation pane to move among headings, or select a section from these contents. The companion HTML file provides literal clickable tabs.</w:t>
      </w:r>
    </w:p>
    <w:p>
      <w:r>
        <w:br w:type="page"/>
      </w:r>
    </w:p>
    <w:p>
      <w:bookmarkStart w:id="706019" w:name="tab_1"/>
      <w:pPr>
        <w:pStyle w:val="Heading1"/>
      </w:pPr>
      <w:r>
        <w:t>Tab 01  |  Guide and Continuity Boundaries</w:t>
      </w:r>
      <w:bookmarkEnd w:id="706019"/>
    </w:p>
    <w:p>
      <w:r>
        <w:t>The Aza'ra TTRPG supports two campaign families. Historical Belavadös takes place before the Iron Dominion destroys the continent. The separate, alternate-universe Galaxy Era takes place around 3013 CE, amid interplanetary travel and mature temporal technology.</w:t>
      </w:r>
    </w:p>
    <w:p>
      <w:r>
        <w:t>Choose a continuity and era before character creation. Keep the original attribute, skill, consequence, magic, and relationship systems shared while changing routes, technology, available communities, and campaign pressures to match the era.</w:t>
      </w:r>
    </w:p>
    <w:p>
      <w:r>
        <w:t>The Galaxy Era is a playable period, not a reenactment of Book Two. The novel's Earth antiquities and Bilqis's personal mystery must not become obligatory tabletop objectives.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Authority</w:t>
            </w:r>
          </w:p>
        </w:tc>
        <w:tc>
          <w:tcPr>
            <w:tcW w:type="dxa" w:w="4939"/>
          </w:tcPr>
          <w:p>
            <w:r>
              <w:t>This request and its 2026 canon priorities</w:t>
            </w:r>
          </w:p>
        </w:tc>
      </w:tr>
      <w:tr>
        <w:tc>
          <w:tcPr>
            <w:tcW w:type="dxa" w:w="4939"/>
          </w:tcPr>
          <w:p>
            <w:r>
              <w:t>Original resources</w:t>
            </w:r>
          </w:p>
        </w:tc>
        <w:tc>
          <w:tcPr>
            <w:tcW w:type="dxa" w:w="4939"/>
          </w:tcPr>
          <w:p>
            <w:r>
              <w:t>Specified Aza’ra and Belavadös archives, strict pantheon, Writer Helper</w:t>
            </w:r>
          </w:p>
        </w:tc>
      </w:tr>
      <w:tr>
        <w:tc>
          <w:tcPr>
            <w:tcW w:type="dxa" w:w="4939"/>
          </w:tcPr>
          <w:p>
            <w:r>
              <w:t>Excluded</w:t>
            </w:r>
          </w:p>
        </w:tc>
        <w:tc>
          <w:tcPr>
            <w:tcW w:type="dxa" w:w="4939"/>
          </w:tcPr>
          <w:p>
            <w:r>
              <w:t>Every previous integrated build</w:t>
            </w:r>
          </w:p>
        </w:tc>
      </w:tr>
      <w:tr>
        <w:tc>
          <w:tcPr>
            <w:tcW w:type="dxa" w:w="4939"/>
          </w:tcPr>
          <w:p>
            <w:r>
              <w:t>Draft status</w:t>
            </w:r>
          </w:p>
        </w:tc>
        <w:tc>
          <w:tcPr>
            <w:tcW w:type="dxa" w:w="4939"/>
          </w:tcPr>
          <w:p>
            <w:r>
              <w:t>New rules and unapproved glyph forms are marked as proposals</w:t>
            </w:r>
          </w:p>
        </w:tc>
      </w:tr>
    </w:tbl>
    <w:p>
      <w:r>
        <w:t xml:space="preserve">Return to contents: </w:t>
      </w:r>
      <w:hyperlink w:anchor="contents">
        <w:r>
          <w:rPr>
            <w:color w:val="17629B"/>
          </w:rPr>
          <w:t>Contents</w:t>
        </w:r>
      </w:hyperlink>
    </w:p>
    <w:p>
      <w:r>
        <w:br w:type="page"/>
      </w:r>
    </w:p>
    <w:p>
      <w:bookmarkStart w:id="214626" w:name="tab_2"/>
      <w:pPr>
        <w:pStyle w:val="Heading1"/>
      </w:pPr>
      <w:r>
        <w:t>Tab 02  |  The Cataclysm and Historical Calendar</w:t>
      </w:r>
      <w:bookmarkEnd w:id="214626"/>
    </w:p>
    <w:p>
      <w:r>
        <w:t>The Cataclysm occurs in 1351 BCE. Ancient maps should show a world in the long aftermath of this event, with migrations and political arrangements specific to the chosen century.</w:t>
      </w:r>
    </w:p>
    <w:p>
      <w:r>
        <w:t>A session log records year, calendar convention, weather, travel time, local authority and known historical events. Do not assume a single empire rules every location.</w:t>
      </w:r>
    </w:p>
    <w:p>
      <w:r>
        <w:t>Belavadös only exists as a playable living continent before its final destruction.</w:t>
      </w:r>
    </w:p>
    <w:p>
      <w:r>
        <w:t xml:space="preserve">Return to contents: </w:t>
      </w:r>
      <w:hyperlink w:anchor="contents">
        <w:r>
          <w:rPr>
            <w:color w:val="17629B"/>
          </w:rPr>
          <w:t>Contents</w:t>
        </w:r>
      </w:hyperlink>
    </w:p>
    <w:p>
      <w:r>
        <w:br w:type="page"/>
      </w:r>
    </w:p>
    <w:p>
      <w:bookmarkStart w:id="382141" w:name="tab_3"/>
      <w:pPr>
        <w:pStyle w:val="Heading1"/>
      </w:pPr>
      <w:r>
        <w:t>Tab 03  |  Belavadös Before the Iron Dominion Bomb</w:t>
      </w:r>
      <w:bookmarkEnd w:id="382141"/>
    </w:p>
    <w:p>
      <w:r>
        <w:t>Belavadös supports cities, wilderness, waterways, markets, diplomatic pressure, faith, industry and slow political change before the hybrid antimatter/dark-matter weapon destroys the continent.</w:t>
      </w:r>
    </w:p>
    <w:p>
      <w:r>
        <w:t>Campaigns can center on salvage, relationships, civic life or war without forcing the catastrophe to happen in the players’ current story. The historical end remains fixed in canon.</w:t>
      </w:r>
    </w:p>
    <w:p>
      <w:r>
        <w:t>The Iron Dominion drops the bomb, not Tzaphaer. The continent is completely destroyed, not transformed into a future open-world ruin.</w:t>
      </w:r>
    </w:p>
    <w:p>
      <w:r>
        <w:t xml:space="preserve">Return to contents: </w:t>
      </w:r>
      <w:hyperlink w:anchor="contents">
        <w:r>
          <w:rPr>
            <w:color w:val="17629B"/>
          </w:rPr>
          <w:t>Contents</w:t>
        </w:r>
      </w:hyperlink>
    </w:p>
    <w:p>
      <w:r>
        <w:br w:type="page"/>
      </w:r>
    </w:p>
    <w:p>
      <w:bookmarkStart w:id="1171841" w:name="tab_4"/>
      <w:pPr>
        <w:pStyle w:val="Heading1"/>
      </w:pPr>
      <w:r>
        <w:t>Tab 04  |  Galaxy Era: Interstellar Life and Time Laws</w:t>
      </w:r>
      <w:bookmarkEnd w:id="1171841"/>
    </w:p>
    <w:p>
      <w:r>
        <w:t>The alternate-universe Galaxy Era around 3013 CE supports interstellar society, travel and regulated temporal technology. Time travel was invented in 2082 CE when its governing laws were established. Queen Bilqis is known for cunning and repeated disregard of temporal law. Most Galaxy Era campaigns should never need to deal with her personally.</w:t>
      </w:r>
    </w:p>
    <w:p>
      <w:r>
        <w:t>Offer shipboard, station, colony, trade, rescue, research, diplomatic, and navigation campaigns. Temporal incidents may be adjudicated as questions of authorization, paradox exposure, harm, and responsibility. Bilqis is the cunning Aza'raan queen of this period, notorious for repeatedly breaking the 2082 time laws. Most Galaxy Era adventures do not involve her directly.</w:t>
      </w:r>
    </w:p>
    <w:p>
      <w:r>
        <w:t>Keep Bilqis as background, not a forced campaign objective. No dedicated clue ledger or Sheba and Atlantis archaeology is part of the Galaxy Era rules.</w:t>
      </w:r>
    </w:p>
    <w:p>
      <w:r>
        <w:t xml:space="preserve">Return to contents: </w:t>
      </w:r>
      <w:hyperlink w:anchor="contents">
        <w:r>
          <w:rPr>
            <w:color w:val="17629B"/>
          </w:rPr>
          <w:t>Contents</w:t>
        </w:r>
      </w:hyperlink>
    </w:p>
    <w:p>
      <w:r>
        <w:br w:type="page"/>
      </w:r>
    </w:p>
    <w:p>
      <w:bookmarkStart w:id="986866" w:name="tab_5"/>
      <w:pPr>
        <w:pStyle w:val="Heading1"/>
      </w:pPr>
      <w:r>
        <w:t>Tab 05  |  Original Core Resolution</w:t>
      </w:r>
      <w:bookmarkEnd w:id="986866"/>
    </w:p>
    <w:p>
      <w:r>
        <w:t>Aza’ra’s new independent starter engine uses two six-sided dice, an attribute and a trained-skill bonus. Sum the result and compare with a published difficulty. Neither player identity nor divine patron automatically determines success.</w:t>
      </w:r>
    </w:p>
    <w:p>
      <w:r>
        <w:t>Starter targets: 7 routine, 9 demanding, 11 difficult, 13 extreme. A total at least the target succeeds; doubles can create a scene complication or advantage if a table has selected that option before play.</w:t>
      </w:r>
    </w:p>
    <w:p>
      <w:r>
        <w:t>This is new draft game design, not a claim that older fifth-edition Belavadös mechanics were already original.</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Routine</w:t>
            </w:r>
          </w:p>
        </w:tc>
        <w:tc>
          <w:tcPr>
            <w:tcW w:type="dxa" w:w="4939"/>
          </w:tcPr>
          <w:p>
            <w:r>
              <w:t>2d6 + attribute + skill ≥ 7</w:t>
            </w:r>
          </w:p>
        </w:tc>
      </w:tr>
      <w:tr>
        <w:tc>
          <w:tcPr>
            <w:tcW w:type="dxa" w:w="4939"/>
          </w:tcPr>
          <w:p>
            <w:r>
              <w:t>Demanding</w:t>
            </w:r>
          </w:p>
        </w:tc>
        <w:tc>
          <w:tcPr>
            <w:tcW w:type="dxa" w:w="4939"/>
          </w:tcPr>
          <w:p>
            <w:r>
              <w:t>2d6 + attribute + skill ≥ 9</w:t>
            </w:r>
          </w:p>
        </w:tc>
      </w:tr>
      <w:tr>
        <w:tc>
          <w:tcPr>
            <w:tcW w:type="dxa" w:w="4939"/>
          </w:tcPr>
          <w:p>
            <w:r>
              <w:t>Difficult</w:t>
            </w:r>
          </w:p>
        </w:tc>
        <w:tc>
          <w:tcPr>
            <w:tcW w:type="dxa" w:w="4939"/>
          </w:tcPr>
          <w:p>
            <w:r>
              <w:t>2d6 + attribute + skill ≥ 11</w:t>
            </w:r>
          </w:p>
        </w:tc>
      </w:tr>
      <w:tr>
        <w:tc>
          <w:tcPr>
            <w:tcW w:type="dxa" w:w="4939"/>
          </w:tcPr>
          <w:p>
            <w:r>
              <w:t>Extreme</w:t>
            </w:r>
          </w:p>
        </w:tc>
        <w:tc>
          <w:tcPr>
            <w:tcW w:type="dxa" w:w="4939"/>
          </w:tcPr>
          <w:p>
            <w:r>
              <w:t>2d6 + attribute + skill ≥ 13</w:t>
            </w:r>
          </w:p>
        </w:tc>
      </w:tr>
    </w:tbl>
    <w:p>
      <w:r>
        <w:t xml:space="preserve">Return to contents: </w:t>
      </w:r>
      <w:hyperlink w:anchor="contents">
        <w:r>
          <w:rPr>
            <w:color w:val="17629B"/>
          </w:rPr>
          <w:t>Contents</w:t>
        </w:r>
      </w:hyperlink>
    </w:p>
    <w:p>
      <w:r>
        <w:br w:type="page"/>
      </w:r>
    </w:p>
    <w:p>
      <w:bookmarkStart w:id="1046241" w:name="tab_6"/>
      <w:pPr>
        <w:pStyle w:val="Heading1"/>
      </w:pPr>
      <w:r>
        <w:t>Tab 06  |  Attributes, Skills and Derived Values</w:t>
      </w:r>
      <w:bookmarkEnd w:id="1046241"/>
    </w:p>
    <w:p>
      <w:r>
        <w:t>Use five starter attributes: Body, Agility, Insight, Presence and Attunement. Beginning ratings run from 0 to 3, with seven points distributed among them and a maximum of three in one attribute.</w:t>
      </w:r>
    </w:p>
    <w:p>
      <w:r>
        <w:t>A skill has rank 0 to 3. Beginners receive six skill points distributed across Observe, Navigate, Negotiate, Create, Mend, Research, Defend, and Weave. Vitality is 6 plus Body; Guard is 7 plus Agility.</w:t>
      </w:r>
    </w:p>
    <w:p>
      <w:r>
        <w:t>A permanent rule change must be mirrored in the MMORPG adapter and character record schema.</w:t>
      </w:r>
    </w:p>
    <w:p>
      <w:r>
        <w:t xml:space="preserve">Return to contents: </w:t>
      </w:r>
      <w:hyperlink w:anchor="contents">
        <w:r>
          <w:rPr>
            <w:color w:val="17629B"/>
          </w:rPr>
          <w:t>Contents</w:t>
        </w:r>
      </w:hyperlink>
    </w:p>
    <w:p>
      <w:r>
        <w:br w:type="page"/>
      </w:r>
    </w:p>
    <w:p>
      <w:bookmarkStart w:id="1700603" w:name="tab_7"/>
      <w:pPr>
        <w:pStyle w:val="Heading1"/>
      </w:pPr>
      <w:r>
        <w:t>Tab 07  |  Playable Species and Mixed Ancestry</w:t>
      </w:r>
      <w:bookmarkEnd w:id="1700603"/>
    </w:p>
    <w:p>
      <w:r>
        <w:t>Playable people include established Aza’raan mixed-ancestry communities and species such as Kaluseban, Tamhiogal, Dril’thar, Azrahai, Volsarii and others in the strict roster. Their cultures and languages contribute to Aza’raan through contact. Eight additional names remain unapproved proposals.</w:t>
      </w:r>
    </w:p>
    <w:p>
      <w:pPr/>
      <w:r>
        <w:t>Allow heritage languages, common Aza’raan and regional speech, without claiming every member of a species shares one accent. Adapt names and historical etymologies through the multilingual contact register. Keep game statistics governed by the original shared tabletop rules, not by stereotypes.</w:t>
      </w:r>
    </w:p>
    <w:p>
      <w:pPr/>
      <w:r>
        <w:t>Do not introduce mainstream fantasy species labels as replacement names.</w:t>
      </w:r>
    </w:p>
    <w:p>
      <w:pPr/>
      <w:r>
        <w:t>Azrahai (ancient Azh’raim): The Aza'ran draconic people; their nine established lineages retain their original names. Naming influences: Aza’raan local and community rules, requires individual language guide. Status: established in strict pantheon JSON.</w:t>
      </w:r>
    </w:p>
    <w:p>
      <w:pPr/>
      <w:r>
        <w:t>Gandirosha: An original Aza'ran people. Naming influences: Aza’raan local and community rules, requires individual language guide. Status: established in strict pantheon JSON.</w:t>
      </w:r>
    </w:p>
    <w:p>
      <w:pPr/>
      <w:r>
        <w:t>Panolima: An original Aza'ran people with five elemental bloodlines. Naming influences: Aza’raan local and community rules, requires individual language guide. Status: established in strict pantheon JSON.</w:t>
      </w:r>
    </w:p>
    <w:p>
      <w:pPr/>
      <w:r>
        <w:t>Gwynis: An original Aza'ran people. Naming influences: Aza’raan local and community rules, requires individual language guide. Status: established in strict pantheon JSON.</w:t>
      </w:r>
    </w:p>
    <w:p>
      <w:pPr/>
      <w:r>
        <w:t>Geisamahi: An original Aza'ran people. Naming influences: Aza’raan local and community rules, requires individual language guide. Status: established in strict pantheon JSON.</w:t>
      </w:r>
    </w:p>
    <w:p>
      <w:pPr/>
      <w:r>
        <w:t>Dril'thar: An original Aza'ran people; every established bloodline can breathe underwater. Naming influences: Aza’raan local and community rules, requires individual language guide. Status: established in strict pantheon JSON.</w:t>
      </w:r>
    </w:p>
    <w:p>
      <w:pPr/>
      <w:r>
        <w:t>Tamhiogal: An original Aza'ran people. Naming influences: Aza’raan local and community rules, requires individual language guide. Status: established in strict pantheon JSON.</w:t>
      </w:r>
    </w:p>
    <w:p>
      <w:pPr/>
      <w:r>
        <w:t>Jaspey: An original Aza'ran people with three established non-bloodline forms. Naming influences: Aza’raan local and community rules, requires individual language guide. Status: established in strict pantheon JSON.</w:t>
      </w:r>
    </w:p>
    <w:p>
      <w:pPr/>
      <w:r>
        <w:t>Aburata: An original Aza'ran people. Naming influences: Aza’raan local and community rules, requires individual language guide. Status: established in strict pantheon JSON.</w:t>
      </w:r>
    </w:p>
    <w:p>
      <w:pPr/>
      <w:r>
        <w:t>Deorbasun: An original Aza'ran people; its soul-animal bloodline remains open until the first true soul bond. Naming influences: Aza’raan local and community rules, requires individual language guide. Status: established in strict pantheon JSON.</w:t>
      </w:r>
    </w:p>
    <w:p>
      <w:pPr/>
      <w:r>
        <w:t>Volsarii: Mortal ferrymen of the dead who serve Nyxarion, live multiple lives, and gain wings in their final life. Naming influences: Aza’raan local and community rules, requires individual language guide. Status: established in strict pantheon JSON.</w:t>
      </w:r>
    </w:p>
    <w:p>
      <w:pPr/>
      <w:r>
        <w:t>Oruvakhi: Night-adapted luminous wayfinders descended from migrating twilight-spirit traditions. Their families organize routes by memorized constellations. Naming influences: Finnish and Swahili. Status: new proposal, not author approved.</w:t>
      </w:r>
    </w:p>
    <w:p>
      <w:pPr/>
      <w:r>
        <w:t>Mahindari: Tidal skinchangers linked to old human stories of beings who crossed between shore and sea. Their coast cultures protect ancestral landing sites. Naming influences: Georgian and Tagalog. Status: new proposal, not author approved.</w:t>
      </w:r>
    </w:p>
    <w:p>
      <w:pPr/>
      <w:r>
        <w:t>Qelusari: Winged highland voyagers descending from immense sky-creature legends who followed portal currents to Aza’ra. Naming influences: Welsh and Malayalam. Status: new proposal, not author approved.</w:t>
      </w:r>
    </w:p>
    <w:p>
      <w:pPr/>
      <w:r>
        <w:t>Anobari: Small-bodied hearth guardians descended from protective household-spirit folktales. Their craft traditions emphasize shared domestic safety. Naming influences: Basque and Thai. Status: new proposal, not author approved.</w:t>
      </w:r>
    </w:p>
    <w:p>
      <w:pPr/>
      <w:r>
        <w:t>Tserukhi: River-canyon guardians whose ancestors came from water-serpent legends. They build flood-safe structures and keep living river maps. Naming influences: Quechua and Turkish. Status: new proposal, not author approved.</w:t>
      </w:r>
    </w:p>
    <w:p>
      <w:pPr/>
      <w:r>
        <w:t>Zavomeri: Nocturnal pollen-tenders linked to luminous insect folklore. Their kin networks cultivate restoration gardens after environmental disasters. Naming influences: Yoruba and Japanese. Status: new proposal, not author approved.</w:t>
      </w:r>
    </w:p>
    <w:p>
      <w:pPr/>
      <w:r>
        <w:t>Helunari: Dryland mirage travelers inspired by desert spirit stories, with craft traditions designed around heat and distance. Naming influences: Persian and Māori. Status: new proposal, not author approved.</w:t>
      </w:r>
    </w:p>
    <w:p>
      <w:pPr/>
      <w:r>
        <w:t>Avurashi: Old-growth grove keepers descended from mobile wood-spirit stories, skilled in patient ecological repair. Naming influences: Ainu and Spanish. Status: new proposal, not author approved.</w:t>
      </w:r>
    </w:p>
    <w:p>
      <w:r>
        <w:t>The strict pantheon file establishes twelve distinct original peoples, including Kaluseban, Azrahai, Dril’thar, Tamhiogal, Deorbasun and Volsarii. The wider twenty-plus target requires additions not yet ratified.</w:t>
      </w:r>
    </w:p>
    <w:p>
      <w:r>
        <w:t>Species determines descriptive ancestry options and cultural knowledge, not moral alignment. Mixed ancestry is ordinary; Princess Lohkahna has Tamhiogal and Kaluseban ancestry, while Jacob has Deorbasun ancestry.</w:t>
      </w:r>
    </w:p>
    <w:p>
      <w:r>
        <w:t>Do not introduce mainstream fantasy species labels as replacement names.</w:t>
      </w:r>
    </w:p>
    <w:p>
      <w:r>
        <w:t xml:space="preserve">Return to contents: </w:t>
      </w:r>
      <w:hyperlink w:anchor="contents">
        <w:r>
          <w:rPr>
            <w:color w:val="17629B"/>
          </w:rPr>
          <w:t>Contents</w:t>
        </w:r>
      </w:hyperlink>
    </w:p>
    <w:p>
      <w:r>
        <w:br w:type="page"/>
      </w:r>
    </w:p>
    <w:p>
      <w:bookmarkStart w:id="402909" w:name="tab_8"/>
      <w:pPr>
        <w:pStyle w:val="Heading1"/>
      </w:pPr>
      <w:r>
        <w:t>Tab 08  |  Identity, Accessibility and Character Sheets</w:t>
      </w:r>
      <w:bookmarkEnd w:id="402909"/>
    </w:p>
    <w:p>
      <w:r>
        <w:t>A character record stores name, chosen pronouns, identity terms, languages, ancestry, history, equipment, relationships and current scene needs. Mobility devices and access accommodations are part of the world rather than penalties for choosing a character.</w:t>
      </w:r>
    </w:p>
    <w:p>
      <w:r>
        <w:t>Every character can select languages, local dialects, code switching habits, and preferred personal naming conventions. Aza’raan is a layered contact language: Proto-Oceanic-inspired and Uxrowoiye strands with borrowings from other Aza’ran peoples. Language differences can affect communication opportunities but never impose a blanket intelligence penalty.</w:t>
      </w:r>
    </w:p>
    <w:p>
      <w:r>
        <w:t>Sheets must not infer personality or class from disability, gender or lineage.</w:t>
      </w:r>
    </w:p>
    <w:p>
      <w:r>
        <w:t xml:space="preserve">Return to contents: </w:t>
      </w:r>
      <w:hyperlink w:anchor="contents">
        <w:r>
          <w:rPr>
            <w:color w:val="17629B"/>
          </w:rPr>
          <w:t>Contents</w:t>
        </w:r>
      </w:hyperlink>
    </w:p>
    <w:p>
      <w:r>
        <w:br w:type="page"/>
      </w:r>
    </w:p>
    <w:p>
      <w:bookmarkStart w:id="1816680" w:name="tab_9"/>
      <w:pPr>
        <w:pStyle w:val="Heading1"/>
      </w:pPr>
      <w:r>
        <w:t>Tab 09  |  Covenant and Eight-Axis Alignment</w:t>
      </w:r>
      <w:bookmarkEnd w:id="1816680"/>
    </w:p>
    <w:p>
      <w:r>
        <w:t>The original Belavadös covenant work separates moral identity, beliefs, obligations, divine relationships and public reputation. Keep its eight-axis concept distinct from conditions such as trauma or contamination.</w:t>
      </w:r>
    </w:p>
    <w:p>
      <w:r>
        <w:t>The historical system uses 0 to 3000, with 1500 a neutral starting score. The starter guide tracks eight independent sliders and records why each score changes after important player choices.</w:t>
      </w:r>
    </w:p>
    <w:p>
      <w:r>
        <w:t>An alignment profile describes past choices; it cannot force a character’s next action.</w:t>
      </w:r>
    </w:p>
    <w:p>
      <w:r>
        <w:t xml:space="preserve">Return to contents: </w:t>
      </w:r>
      <w:hyperlink w:anchor="contents">
        <w:r>
          <w:rPr>
            <w:color w:val="17629B"/>
          </w:rPr>
          <w:t>Contents</w:t>
        </w:r>
      </w:hyperlink>
    </w:p>
    <w:p>
      <w:r>
        <w:br w:type="page"/>
      </w:r>
    </w:p>
    <w:p>
      <w:bookmarkStart w:id="1823843" w:name="tab_10"/>
      <w:pPr>
        <w:pStyle w:val="Heading1"/>
      </w:pPr>
      <w:r>
        <w:t>Tab 10  |  Paths, Training and Advancement</w:t>
      </w:r>
      <w:bookmarkEnd w:id="1823843"/>
    </w:p>
    <w:p>
      <w:r>
        <w:t>Paths express practiced expertise, not fixed identities. Initial paths include Wayfinder, Maker, Keeper, Mediator, Seeker, Warden, Resonant, Archivist and Voyager.</w:t>
      </w:r>
    </w:p>
    <w:p>
      <w:r>
        <w:t>At each milestone select one increase to a trained skill, contact, resource access or specialized technique, subject to the facilitator’s agreed pace. Narrative growth remains a choice, not an automatic divine blessing.</w:t>
      </w:r>
    </w:p>
    <w:p>
      <w:r>
        <w:t>Older 22-class and fifth-edition files are reference history, not the underlying engine of this new original game.</w:t>
      </w:r>
    </w:p>
    <w:p>
      <w:r>
        <w:t xml:space="preserve">Return to contents: </w:t>
      </w:r>
      <w:hyperlink w:anchor="contents">
        <w:r>
          <w:rPr>
            <w:color w:val="17629B"/>
          </w:rPr>
          <w:t>Contents</w:t>
        </w:r>
      </w:hyperlink>
    </w:p>
    <w:p>
      <w:r>
        <w:br w:type="page"/>
      </w:r>
    </w:p>
    <w:p>
      <w:bookmarkStart w:id="299094" w:name="tab_11"/>
      <w:pPr>
        <w:pStyle w:val="Heading1"/>
      </w:pPr>
      <w:r>
        <w:t>Tab 11  |  Magic Sources and Collaborative Casting</w:t>
      </w:r>
      <w:bookmarkEnd w:id="299094"/>
    </w:p>
    <w:p>
      <w:r>
        <w:t>Every soul generates magic at birth. Ambient magic on Aza’ra is abundant but volatile, making large workings safer when practitioners cooperate and anchor them in stable places.</w:t>
      </w:r>
    </w:p>
    <w:p>
      <w:r>
        <w:t>In the starter engine a small working uses Attunement plus Weave against 9. A complex working costs one Focus and needs a preparation or a second contributor; dangerous remote transit is never a consequence-free shortcut.</w:t>
      </w:r>
    </w:p>
    <w:p>
      <w:r>
        <w:t>Focus equals 3 plus Attunement. Failed magic can change position, add fatigue or break an unstable working, with outcomes announced before the roll.</w:t>
      </w:r>
    </w:p>
    <w:p>
      <w:r>
        <w:t xml:space="preserve">Return to contents: </w:t>
      </w:r>
      <w:hyperlink w:anchor="contents">
        <w:r>
          <w:rPr>
            <w:color w:val="17629B"/>
          </w:rPr>
          <w:t>Contents</w:t>
        </w:r>
      </w:hyperlink>
    </w:p>
    <w:p>
      <w:r>
        <w:br w:type="page"/>
      </w:r>
    </w:p>
    <w:p>
      <w:bookmarkStart w:id="1473857" w:name="tab_12"/>
      <w:pPr>
        <w:pStyle w:val="Heading1"/>
      </w:pPr>
      <w:r>
        <w:t>Tab 12  |  Divine Roles and Boundaries</w:t>
      </w:r>
      <w:bookmarkEnd w:id="1473857"/>
    </w:p>
    <w:p>
      <w:r>
        <w:t>The strict pantheon has Nyxarion as compassionate god of death and Anubriosh as the former god of death now pursuing necromancy and those who evade death. Volsara freely accepted ascension and later married Nyxarion.</w:t>
      </w:r>
    </w:p>
    <w:p>
      <w:r>
        <w:t>A divine relationship may create a quest, a vow, a boon or a price. Characters retain agency even when dealing with patrons such as Ruqore, Wenaskozid, Selkhanis and Vulkiris.</w:t>
      </w:r>
    </w:p>
    <w:p>
      <w:r>
        <w:t>Only deity names in the supplied strict pantheon may be used as current deities.</w:t>
      </w:r>
    </w:p>
    <w:p>
      <w:r>
        <w:t xml:space="preserve">Return to contents: </w:t>
      </w:r>
      <w:hyperlink w:anchor="contents">
        <w:r>
          <w:rPr>
            <w:color w:val="17629B"/>
          </w:rPr>
          <w:t>Contents</w:t>
        </w:r>
      </w:hyperlink>
    </w:p>
    <w:p>
      <w:r>
        <w:br w:type="page"/>
      </w:r>
    </w:p>
    <w:p>
      <w:bookmarkStart w:id="687039" w:name="tab_13"/>
      <w:pPr>
        <w:pStyle w:val="Heading1"/>
      </w:pPr>
      <w:r>
        <w:t>Tab 13  |  Action Scenes, Turns and Position</w:t>
      </w:r>
      <w:bookmarkEnd w:id="687039"/>
    </w:p>
    <w:p>
      <w:r>
        <w:t>In a tense scene, each participant takes one major action, one move and a brief free interaction on their turn. Optional zone play uses Near, Across and Distant instead of a required grid.</w:t>
      </w:r>
    </w:p>
    <w:p>
      <w:r>
        <w:t>To overcome guarded resistance roll the relevant attribute plus skill against Guard. An ordinary successful strike causes two Impact; specialized weapons or techniques modify that by one after explicit character setup.</w:t>
      </w:r>
    </w:p>
    <w:p>
      <w:r>
        <w:t>Use narration first, numbers second. No initiative rule should silence a player whose character is responding to danger.</w:t>
      </w:r>
    </w:p>
    <w:p>
      <w:r>
        <w:t xml:space="preserve">Return to contents: </w:t>
      </w:r>
      <w:hyperlink w:anchor="contents">
        <w:r>
          <w:rPr>
            <w:color w:val="17629B"/>
          </w:rPr>
          <w:t>Contents</w:t>
        </w:r>
      </w:hyperlink>
    </w:p>
    <w:p>
      <w:r>
        <w:br w:type="page"/>
      </w:r>
    </w:p>
    <w:p>
      <w:bookmarkStart w:id="1361024" w:name="tab_14"/>
      <w:pPr>
        <w:pStyle w:val="Heading1"/>
      </w:pPr>
      <w:r>
        <w:t>Tab 14  |  Harm, Recovery and Consent</w:t>
      </w:r>
      <w:bookmarkEnd w:id="1361024"/>
    </w:p>
    <w:p>
      <w:r>
        <w:t>Vitality tracks immediate injury while Stress tracks psychological pressure as separate systems. A player can opt out of detailed depictions of trauma or injury without mechanical punishment.</w:t>
      </w:r>
    </w:p>
    <w:p>
      <w:r>
        <w:t>At zero Vitality a character is incapacitated and needs rescue, treatment or a clearly negotiated story consequence. Rest, medical resources and community care restore capacity.</w:t>
      </w:r>
    </w:p>
    <w:p>
      <w:r>
        <w:t>Do not equate emotional injury with moral alignment or treat consent as expendable during an intense plot.</w:t>
      </w:r>
    </w:p>
    <w:p>
      <w:r>
        <w:t xml:space="preserve">Return to contents: </w:t>
      </w:r>
      <w:hyperlink w:anchor="contents">
        <w:r>
          <w:rPr>
            <w:color w:val="17629B"/>
          </w:rPr>
          <w:t>Contents</w:t>
        </w:r>
      </w:hyperlink>
    </w:p>
    <w:p>
      <w:r>
        <w:br w:type="page"/>
      </w:r>
    </w:p>
    <w:p>
      <w:bookmarkStart w:id="1494267" w:name="tab_15"/>
      <w:pPr>
        <w:pStyle w:val="Heading1"/>
      </w:pPr>
      <w:r>
        <w:t>Tab 15  |  Investigation, Research and Field Evidence</w:t>
      </w:r>
      <w:bookmarkEnd w:id="1494267"/>
    </w:p>
    <w:p>
      <w:r>
        <w:t>Investigations happen wherever player actions encounter uncertainty: damaged star charts, vanished crews, sabotaged transit machinery, disputed testimony, environmental changes, missing supplies, or records that contradict a witness. Evidence belongs to the campaign the table is actually playing.</w:t>
      </w:r>
    </w:p>
    <w:p>
      <w:r>
        <w:t>When characters examine an obvious lead in a sensible way, provide the essential observation without requiring a roll. Use an original two-dice check for dangerous retrieval, contested analysis, or uncertain deductions. Failure may introduce delay, costs, compromised equipment, or another lead instead of ending the investigation. Use an ordinary session journal if the group wants to remember findings.</w:t>
      </w:r>
    </w:p>
    <w:p>
      <w:r>
        <w:t>There is no special Bilqis investigation or Earth clue mechanic in the TTRPG. Historical Earth clues are reserved for the narrative arc of The Drowned Queen.</w:t>
      </w:r>
    </w:p>
    <w:p>
      <w:r>
        <w:t xml:space="preserve">Return to contents: </w:t>
      </w:r>
      <w:hyperlink w:anchor="contents">
        <w:r>
          <w:rPr>
            <w:color w:val="17629B"/>
          </w:rPr>
          <w:t>Contents</w:t>
        </w:r>
      </w:hyperlink>
    </w:p>
    <w:p>
      <w:r>
        <w:br w:type="page"/>
      </w:r>
    </w:p>
    <w:p>
      <w:bookmarkStart w:id="1817176" w:name="tab_16"/>
      <w:pPr>
        <w:pStyle w:val="Heading1"/>
      </w:pPr>
      <w:r>
        <w:t>Tab 16  |  Factions, Courts and Reputation</w:t>
      </w:r>
      <w:bookmarkEnd w:id="1817176"/>
    </w:p>
    <w:p>
      <w:r>
        <w:t>Belavadös politics involve institutions, guilds, alliances and opposition that remember deeds. The same faction may be protective of one settlement and exploitative in another.</w:t>
      </w:r>
    </w:p>
    <w:p>
      <w:r>
        <w:t>Track relationship standing separately for faction, named NPC and local law. A promise broken in one town should produce credible consequences, not omniscient hostility from every inhabitant.</w:t>
      </w:r>
    </w:p>
    <w:p>
      <w:r>
        <w:t>Do not assign every faction to a deity or moral axis.</w:t>
      </w:r>
    </w:p>
    <w:p>
      <w:r>
        <w:t xml:space="preserve">Return to contents: </w:t>
      </w:r>
      <w:hyperlink w:anchor="contents">
        <w:r>
          <w:rPr>
            <w:color w:val="17629B"/>
          </w:rPr>
          <w:t>Contents</w:t>
        </w:r>
      </w:hyperlink>
    </w:p>
    <w:p>
      <w:r>
        <w:br w:type="page"/>
      </w:r>
    </w:p>
    <w:p>
      <w:bookmarkStart w:id="1493615" w:name="tab_17"/>
      <w:pPr>
        <w:pStyle w:val="Heading1"/>
      </w:pPr>
      <w:r>
        <w:t>Tab 17  |  Social Scenes and NPC Autonomy</w:t>
      </w:r>
      <w:bookmarkEnd w:id="1493615"/>
    </w:p>
    <w:p>
      <w:r>
        <w:t>NPCs have schedules, obligations, goals, fears, resources and relationships, not one-line quest dispensers. A resident may decline a favor even when a player has high Presence.</w:t>
      </w:r>
    </w:p>
    <w:p>
      <w:r>
        <w:t>Facilitators record what each person knows, what they refuse, and what evidence might change their mind. Social checks can alter terms, access and trust but not compel romance or override informed consent.</w:t>
      </w:r>
    </w:p>
    <w:p>
      <w:r>
        <w:t>Use Writer Helper dialogue constraints so every NPC has a distinct speaking rhythm.</w:t>
      </w:r>
    </w:p>
    <w:p>
      <w:r>
        <w:t xml:space="preserve">Return to contents: </w:t>
      </w:r>
      <w:hyperlink w:anchor="contents">
        <w:r>
          <w:rPr>
            <w:color w:val="17629B"/>
          </w:rPr>
          <w:t>Contents</w:t>
        </w:r>
      </w:hyperlink>
    </w:p>
    <w:p>
      <w:r>
        <w:br w:type="page"/>
      </w:r>
    </w:p>
    <w:p>
      <w:bookmarkStart w:id="1813619" w:name="tab_18"/>
      <w:pPr>
        <w:pStyle w:val="Heading1"/>
      </w:pPr>
      <w:r>
        <w:t>Tab 18  |  Careers, Work and Crafting</w:t>
      </w:r>
      <w:bookmarkEnd w:id="1813619"/>
    </w:p>
    <w:p>
      <w:r>
        <w:t>Crafting, public service and research can be campaign centers rather than downtime filler. A profession grants contacts, access to tools and the ability to attempt specialized work.</w:t>
      </w:r>
    </w:p>
    <w:p>
      <w:r>
        <w:t>Each project records blueprint, materials, tool requirements, labor, time, hazard checks and finished quality. A community-built bridge may be more important than a magical artifact.</w:t>
      </w:r>
    </w:p>
    <w:p>
      <w:r>
        <w:t>A workshop cannot fabricate antimatter weapons from ordinary starter components.</w:t>
      </w:r>
    </w:p>
    <w:p>
      <w:r>
        <w:t xml:space="preserve">Return to contents: </w:t>
      </w:r>
      <w:hyperlink w:anchor="contents">
        <w:r>
          <w:rPr>
            <w:color w:val="17629B"/>
          </w:rPr>
          <w:t>Contents</w:t>
        </w:r>
      </w:hyperlink>
    </w:p>
    <w:p>
      <w:r>
        <w:br w:type="page"/>
      </w:r>
    </w:p>
    <w:p>
      <w:bookmarkStart w:id="1307447" w:name="tab_19"/>
      <w:pPr>
        <w:pStyle w:val="Heading1"/>
      </w:pPr>
      <w:r>
        <w:t>Tab 19  |  Settlements, Architecture and Homes</w:t>
      </w:r>
      <w:bookmarkEnd w:id="1307447"/>
    </w:p>
    <w:p>
      <w:r>
        <w:t>Players may help design shelters, workshops, docks, markets, gardens and entire neighborhoods, with accessibility and utilities considered from the first plan.</w:t>
      </w:r>
    </w:p>
    <w:p>
      <w:r>
        <w:t>A settlement ledger records occupied lots, food, clean water, energy capacity, road access, labor demand and resident trust. Place projects using terrain constraints and honest material costs.</w:t>
      </w:r>
    </w:p>
    <w:p>
      <w:r>
        <w:t>Belavadös settlements become historical locations after the destruction, not active MMORPG maps.</w:t>
      </w:r>
    </w:p>
    <w:p>
      <w:r>
        <w:t xml:space="preserve">Return to contents: </w:t>
      </w:r>
      <w:hyperlink w:anchor="contents">
        <w:r>
          <w:rPr>
            <w:color w:val="17629B"/>
          </w:rPr>
          <w:t>Contents</w:t>
        </w:r>
      </w:hyperlink>
    </w:p>
    <w:p>
      <w:r>
        <w:br w:type="page"/>
      </w:r>
    </w:p>
    <w:p>
      <w:bookmarkStart w:id="537375" w:name="tab_20"/>
      <w:pPr>
        <w:pStyle w:val="Heading1"/>
      </w:pPr>
      <w:r>
        <w:t>Tab 20  |  Currency, Markets and Rewards</w:t>
      </w:r>
      <w:bookmarkEnd w:id="537375"/>
    </w:p>
    <w:p>
      <w:r>
        <w:t>Local currencies and barter operate within regional traditions. A trade requires buyer, seller, price, scarcity and transport risk; group rewards can include information, shelter, reputation and reciprocal aid.</w:t>
      </w:r>
    </w:p>
    <w:p>
      <w:r>
        <w:t>Use a starting account measured in abstract credit units until a confirmed local coin schedule is selected. For every reward record provenance and whether it can be sold, gifted, repaired or disputed.</w:t>
      </w:r>
    </w:p>
    <w:p>
      <w:r>
        <w:t>Do not pretend that an unverified coin conversion exists in every century.</w:t>
      </w:r>
    </w:p>
    <w:p>
      <w:r>
        <w:t xml:space="preserve">Return to contents: </w:t>
      </w:r>
      <w:hyperlink w:anchor="contents">
        <w:r>
          <w:rPr>
            <w:color w:val="17629B"/>
          </w:rPr>
          <w:t>Contents</w:t>
        </w:r>
      </w:hyperlink>
    </w:p>
    <w:p>
      <w:r>
        <w:br w:type="page"/>
      </w:r>
    </w:p>
    <w:p>
      <w:bookmarkStart w:id="112619" w:name="tab_21"/>
      <w:pPr>
        <w:pStyle w:val="Heading1"/>
      </w:pPr>
      <w:r>
        <w:t>Tab 21  |  Travel, Public Transit and Portals</w:t>
      </w:r>
      <w:bookmarkEnd w:id="112619"/>
    </w:p>
    <w:p>
      <w:r>
        <w:t>Designated short-range public transit anchors are much safer than uncontrolled long-range teleportation. Ships, caravans, accessible routes and transit hubs therefore matter culturally and economically.</w:t>
      </w:r>
    </w:p>
    <w:p>
      <w:r>
        <w:t>A journey records departure, route segments, passage cost, supply needs and hazards. Dangerous jumps require agreed destination uncertainty and a recovery option.</w:t>
      </w:r>
    </w:p>
    <w:p>
      <w:r>
        <w:t>A failed long-range jump can be catastrophic; no starter ability permits unlimited safe teleportation.</w:t>
      </w:r>
    </w:p>
    <w:p>
      <w:r>
        <w:t xml:space="preserve">Return to contents: </w:t>
      </w:r>
      <w:hyperlink w:anchor="contents">
        <w:r>
          <w:rPr>
            <w:color w:val="17629B"/>
          </w:rPr>
          <w:t>Contents</w:t>
        </w:r>
      </w:hyperlink>
    </w:p>
    <w:p>
      <w:r>
        <w:br w:type="page"/>
      </w:r>
    </w:p>
    <w:p>
      <w:bookmarkStart w:id="1999054" w:name="tab_22"/>
      <w:pPr>
        <w:pStyle w:val="Heading1"/>
      </w:pPr>
      <w:r>
        <w:t>Tab 22  |  Vehicles, Spacecraft and Communication</w:t>
      </w:r>
      <w:bookmarkEnd w:id="1999054"/>
    </w:p>
    <w:p>
      <w:r>
        <w:t>Galaxy Era characters navigate ships, habitats, public stations, communications networks, interplanetary routes, and occasionally regulated time travel. Historical Belavadös instead emphasizes surviving contemporary transit, vessels, and known magic-anchored routes.</w:t>
      </w:r>
    </w:p>
    <w:p>
      <w:r>
        <w:t>Model journeys with travel legs, supply and maintenance demands, crew responsibilities, and scene-level risk. If a temporal transfer is proposed in the Galaxy Era, check the time laws established in 2082, document the claimed authorization, and let the facilitator adjudicate consequences without assuming paradox immunity.</w:t>
      </w:r>
    </w:p>
    <w:p>
      <w:r>
        <w:t>Spacecraft do not grant unrestricted time travel. The Galaxy Era is an alternate continuity and does not overwrite events in the eight-book story.</w:t>
      </w:r>
    </w:p>
    <w:p>
      <w:r>
        <w:t xml:space="preserve">Return to contents: </w:t>
      </w:r>
      <w:hyperlink w:anchor="contents">
        <w:r>
          <w:rPr>
            <w:color w:val="17629B"/>
          </w:rPr>
          <w:t>Contents</w:t>
        </w:r>
      </w:hyperlink>
    </w:p>
    <w:p>
      <w:r>
        <w:br w:type="page"/>
      </w:r>
    </w:p>
    <w:p>
      <w:bookmarkStart w:id="1694522" w:name="tab_23"/>
      <w:pPr>
        <w:pStyle w:val="Heading1"/>
      </w:pPr>
      <w:r>
        <w:t>Tab 23  |  Quests, Autonomy and Campaign Clocks</w:t>
      </w:r>
      <w:bookmarkEnd w:id="1694522"/>
    </w:p>
    <w:p>
      <w:r>
        <w:t>Players decide which mysteries, settlements, factions and relationships deserve their time. The world continues functioning when they postpone a quest.</w:t>
      </w:r>
    </w:p>
    <w:p>
      <w:r>
        <w:t>Every quest records premise, competing interests, three plausible approaches, time pressure, failure consequences and aftermath. A clock advances from credible faction action rather than by punishing exploration.</w:t>
      </w:r>
    </w:p>
    <w:p>
      <w:r>
        <w:t>The facilitator knows the historical catastrophe but does not script a character’s response to it.</w:t>
      </w:r>
    </w:p>
    <w:p>
      <w:r>
        <w:t xml:space="preserve">Return to contents: </w:t>
      </w:r>
      <w:hyperlink w:anchor="contents">
        <w:r>
          <w:rPr>
            <w:color w:val="17629B"/>
          </w:rPr>
          <w:t>Contents</w:t>
        </w:r>
      </w:hyperlink>
    </w:p>
    <w:p>
      <w:r>
        <w:br w:type="page"/>
      </w:r>
    </w:p>
    <w:p>
      <w:bookmarkStart w:id="1508292" w:name="tab_24"/>
      <w:pPr>
        <w:pStyle w:val="Heading1"/>
      </w:pPr>
      <w:r>
        <w:t>Tab 24  |  Session Tools, Safety and Example Play</w:t>
      </w:r>
      <w:bookmarkEnd w:id="1508292"/>
    </w:p>
    <w:p>
      <w:r>
        <w:t>Run a session zero to establish era, alternate-universe status, boundaries, accessibility requirements and desired intensity. Preserve a shared timeline and a compact recap after every session.</w:t>
      </w:r>
    </w:p>
    <w:p>
      <w:r>
        <w:t>Example: a Wayfinder rolls 2d6 plus Agility 2 and Navigate 1 against difficulty 9 to reach a transit pier during a storm. A result of 9 succeeds, while a lower result adds delay or cost without removing the pier.</w:t>
      </w:r>
    </w:p>
    <w:p>
      <w:r>
        <w:t>Recheck the eight-axis scores only when actions demonstrate sustained choices, not after every imperfect roll.</w:t>
      </w:r>
    </w:p>
    <w:p/>
    <w:p>
      <w:pPr>
        <w:pStyle w:val="Heading2"/>
      </w:pPr>
      <w:r>
        <w:t>Race Appearance Canon Update | 11 October 2026</w:t>
      </w:r>
    </w:p>
    <w:p>
      <w:r>
        <w:t>Author-approved race appearance canon is synchronized with Aza_ra_All_Races_and_Mixed_Azaaraan_Heritages.txt and the shared race registry. These are corrections to people and character creation, not a revision to Aza’raan linguistic grammar or writing.</w:t>
      </w:r>
    </w:p>
    <w:p>
      <w:r>
        <w:t>Dril'thar is the single, timeless name for the amphibious species and its six environmental bloodlines. Azh’raim is the ancient name of the draconic people; Azrahai is their modern name, simplified gradually over time without a new species arising.</w:t>
      </w:r>
    </w:p>
    <w:p>
      <w:r>
        <w:t>Jaspey form appearances: Mosscap has a moss-textured head or crown with soft green-brown highlights. Gloomtail has a shadow-adapted tail or low-light markings. Rotcap has dark fungal or decay-associated patterning. All three are approved.</w:t>
      </w:r>
    </w:p>
    <w:p>
      <w:r>
        <w:t>Aza’raans: very pale to lightly tanned complexion, chiefly copper through dark-auburn hair, brown hair sometimes, black and blonde hair rarely. Silver, blue or green eyes are common. Family variations can derive from Kaluseban, Deorbasun, Zirramunis, Iamhazira and Gandirosha heritage.</w:t>
      </w:r>
    </w:p>
    <w:p>
      <w:pPr>
        <w:pStyle w:val="ListBullet"/>
      </w:pPr>
      <w:r>
        <w:t>Aza’raan with Kaluseban ancestry: Kalus’aan is the established name for this mixed-ancestry community. Their Aza’raan cranial ridges, slender limbs, silver, blue, or green eyes and copper-to-auburn hair may mingle with Kaluseban color shifts, luminous marks, mineral textures, water-adapted accents, or forest and shadow features. The six documented Kalus’aan expressions are Arcane, Starborne, Wildroot, Tideborn, Stonebound, and Umbral; they are not six separate species. Appearance differs with the family and the particular Kaluseban bloodline.</w:t>
      </w:r>
    </w:p>
    <w:p>
      <w:pPr>
        <w:pStyle w:val="ListBullet"/>
      </w:pPr>
      <w:r>
        <w:t>Aza’raan with Deorbasun ancestry: An Aza’raan descendant of a Deorbasun family may keep pale-to-lightly-tanned Aza’raan skin and auburn or copper hair while expressing more pronounced reflective eyes, feline or other soul-animal hints, a heavier mane, unusual ear contours, tail, fur patches, claw-like nails, or rare wing features. The Deorbasun soul-animal bond is individually expressed and cannot be assigned a standard animal or fixed bloodline by appearance alone. No separate canonical community name has been established.</w:t>
      </w:r>
    </w:p>
    <w:p>
      <w:pPr>
        <w:pStyle w:val="ListBullet"/>
      </w:pPr>
      <w:r>
        <w:t>Aza’raan with Zirramunis ancestry: These descendants may be shorter or more densely built than a typical Aza’raan, with strong forearms, compact musculature, prominent bone structure, mineral-glinting eyes, stone-colored accent markings, and thick hair or beard growth. Copper and dark auburn hair and the silver, blue, or green Aza’raan eye spectrum can persist, with jeweled or metallic notes from Zirramunis heritage. No distinct mixed-species name or special fixed subtype is confirmed.</w:t>
      </w:r>
    </w:p>
    <w:p>
      <w:pPr>
        <w:pStyle w:val="ListBullet"/>
      </w:pPr>
      <w:r>
        <w:t>Aza’raan with Iamhazira ancestry: The historically documented Aza’zira community blends Aza’raan facial proportions, psionic markings, and reflective eyes with Iamhazira height, powerful musculature, endurance traits, braids, strong jaw structure, and sometimes tusk features. Complexion may extend beyond the unmixed pale-to-lightly-tanned baseline where that parental lineage is visible. Individuals may retain copper or auburn hair, or express their Iamhazira family’s tones and scar or ornament customs.</w:t>
      </w:r>
    </w:p>
    <w:p>
      <w:pPr>
        <w:pStyle w:val="ListBullet"/>
      </w:pPr>
      <w:r>
        <w:t>Aza’raan with Gandirosha ancestry: These descendants can retain the typical pale or lightly tanned Aza’raan complexion, copper or auburn hair and silver, blue, or green eyes, while expressing greater agility, a more compact or lithe build, freckles that resemble luminous sigils, more mobile facial expression, or colorful hair highlights associated with Gandirosha ancestry. These are variable family traits, not a separate named species or mandatory personality features.</w:t>
      </w:r>
    </w:p>
    <w:p>
      <w:pPr>
        <w:pStyle w:val="Heading2"/>
      </w:pPr>
      <w:r>
        <w:t>Pix, pointed ears and the maternal protector bloodline</w:t>
      </w:r>
    </w:p>
    <w:p>
      <w:r>
        <w:t>Pix family appearance canon: Pix is a transgender man who can pass as human despite his visibly pointed, backward-swept ears. The childhood name 'Pix' came from those conspicuous ears, which his parents explained as an old inherited abnormality. Pix and his father have the tell-tale pointed ears. Pix's mother, Jacob and Clarahmizah have ordinary-looking human ears without points. Pix's mother eventually explains that much of the protector bloodline shared by her and Clarahmizah has Gandirosha and Zirramunis ancestry, and many descendants lost the conspicuous Aza'raan ear shape. Pix inherited the unmistakable ears through his father. The absence of pointed ears does not erase anyone's Aza'raan lineage or protector heritage.</w:t>
      </w:r>
    </w:p>
    <w:sectPr w:rsidR="00FC693F" w:rsidRPr="0006063C" w:rsidSect="00034616">
      <w:footerReference w:type="default" r:id="rId9"/>
      <w:pgSz w:w="12240" w:h="15840"/>
      <w:pgMar w:top="1109" w:right="1181" w:bottom="110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Aza’ra Full  |  Source-led guidebook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F7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F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F7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